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74" w:rsidRPr="003D728B" w:rsidRDefault="00D93474" w:rsidP="006B6FE8">
      <w:pPr>
        <w:spacing w:line="240" w:lineRule="auto"/>
        <w:ind w:firstLine="6379"/>
        <w:rPr>
          <w:szCs w:val="24"/>
          <w:lang w:val="lt-LT" w:eastAsia="ru-RU"/>
        </w:rPr>
      </w:pPr>
      <w:r w:rsidRPr="003D728B">
        <w:rPr>
          <w:szCs w:val="24"/>
          <w:lang w:val="lt-LT" w:eastAsia="ru-RU"/>
        </w:rPr>
        <w:t>Valstybės finansuojamų studijų</w:t>
      </w:r>
    </w:p>
    <w:p w:rsidR="00D93474" w:rsidRPr="003D728B" w:rsidRDefault="00D93474" w:rsidP="006B6FE8">
      <w:pPr>
        <w:spacing w:line="240" w:lineRule="auto"/>
        <w:ind w:firstLine="6379"/>
        <w:rPr>
          <w:szCs w:val="24"/>
          <w:lang w:val="lt-LT" w:eastAsia="ru-RU"/>
        </w:rPr>
      </w:pPr>
      <w:r w:rsidRPr="003D728B">
        <w:rPr>
          <w:szCs w:val="24"/>
          <w:lang w:val="lt-LT" w:eastAsia="ru-RU"/>
        </w:rPr>
        <w:t>vietų užėmimo tvarkos aprašo</w:t>
      </w:r>
    </w:p>
    <w:p w:rsidR="006B6FE8" w:rsidRDefault="006B6FE8" w:rsidP="006B6FE8">
      <w:pPr>
        <w:spacing w:line="240" w:lineRule="auto"/>
        <w:ind w:firstLine="6379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927A1B">
        <w:rPr>
          <w:szCs w:val="24"/>
          <w:lang w:val="lt-LT"/>
        </w:rPr>
        <w:t xml:space="preserve"> </w:t>
      </w:r>
      <w:r w:rsidR="007B33CA" w:rsidRPr="003D728B">
        <w:rPr>
          <w:szCs w:val="24"/>
          <w:lang w:val="lt-LT"/>
        </w:rPr>
        <w:t>priedas</w:t>
      </w:r>
    </w:p>
    <w:p w:rsidR="00D17ED6" w:rsidRPr="003D728B" w:rsidRDefault="001E1B4E" w:rsidP="006B6FE8">
      <w:pPr>
        <w:spacing w:line="240" w:lineRule="auto"/>
        <w:rPr>
          <w:b/>
          <w:szCs w:val="24"/>
          <w:lang w:val="lt-LT"/>
        </w:rPr>
      </w:pPr>
      <w:r w:rsidRPr="003D728B">
        <w:rPr>
          <w:szCs w:val="24"/>
          <w:lang w:val="lt-LT"/>
        </w:rPr>
        <w:br/>
      </w:r>
    </w:p>
    <w:p w:rsidR="006B6FE8" w:rsidRDefault="004211A4" w:rsidP="00D17ED6">
      <w:pPr>
        <w:spacing w:line="240" w:lineRule="auto"/>
        <w:jc w:val="center"/>
        <w:rPr>
          <w:b/>
          <w:lang w:val="lt-LT"/>
        </w:rPr>
      </w:pPr>
      <w:r w:rsidRPr="007A706A">
        <w:rPr>
          <w:b/>
          <w:lang w:val="lt-LT"/>
        </w:rPr>
        <w:t xml:space="preserve">STUDIJŲ REZULTATŲ PASIEKIMO LYGMENŲ SKAIČIAVIMO </w:t>
      </w:r>
    </w:p>
    <w:p w:rsidR="00B75708" w:rsidRPr="00E422FE" w:rsidRDefault="004211A4" w:rsidP="00D17ED6">
      <w:pPr>
        <w:spacing w:line="240" w:lineRule="auto"/>
        <w:jc w:val="center"/>
        <w:rPr>
          <w:sz w:val="20"/>
          <w:szCs w:val="20"/>
          <w:lang w:val="lt-LT"/>
        </w:rPr>
      </w:pPr>
      <w:r w:rsidRPr="007A706A">
        <w:rPr>
          <w:b/>
          <w:lang w:val="lt-LT"/>
        </w:rPr>
        <w:t>PRINCIPAI</w:t>
      </w:r>
    </w:p>
    <w:p w:rsidR="007A706A" w:rsidRPr="00927A1B" w:rsidRDefault="007A706A" w:rsidP="001E1B4E">
      <w:pPr>
        <w:jc w:val="right"/>
        <w:rPr>
          <w:sz w:val="16"/>
          <w:szCs w:val="16"/>
          <w:lang w:val="lt-LT"/>
        </w:rPr>
      </w:pPr>
    </w:p>
    <w:tbl>
      <w:tblPr>
        <w:tblW w:w="10031" w:type="dxa"/>
        <w:tblLook w:val="0420" w:firstRow="1" w:lastRow="0" w:firstColumn="0" w:lastColumn="0" w:noHBand="0" w:noVBand="1"/>
      </w:tblPr>
      <w:tblGrid>
        <w:gridCol w:w="1951"/>
        <w:gridCol w:w="1985"/>
        <w:gridCol w:w="1984"/>
        <w:gridCol w:w="2126"/>
        <w:gridCol w:w="1985"/>
      </w:tblGrid>
      <w:tr w:rsidR="00C375DB" w:rsidRPr="00927A1B" w:rsidTr="006B6FE8">
        <w:trPr>
          <w:trHeight w:val="6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75DB" w:rsidRPr="00927A1B" w:rsidRDefault="00D93474" w:rsidP="001E1B4E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Semestro</w:t>
            </w:r>
            <w:r w:rsidR="0095635C"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dalykų skaičius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75DB" w:rsidRPr="00927A1B" w:rsidRDefault="00C375DB" w:rsidP="00960A6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Puikus</w:t>
            </w:r>
            <w:r w:rsidRPr="00927A1B">
              <w:rPr>
                <w:bCs/>
                <w:color w:val="000000"/>
                <w:sz w:val="20"/>
                <w:szCs w:val="20"/>
                <w:lang w:val="lt-LT" w:eastAsia="lt-LT"/>
              </w:rPr>
              <w:t xml:space="preserve"> studijų pasiekimo lygmuo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75DB" w:rsidRPr="00927A1B" w:rsidRDefault="00C375DB" w:rsidP="00960A6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Tipinis</w:t>
            </w:r>
            <w:r w:rsidRPr="00927A1B">
              <w:rPr>
                <w:bCs/>
                <w:color w:val="000000"/>
                <w:sz w:val="20"/>
                <w:szCs w:val="20"/>
                <w:lang w:val="lt-LT" w:eastAsia="lt-LT"/>
              </w:rPr>
              <w:t xml:space="preserve"> studijų pasiekimo lygmuo</w:t>
            </w:r>
          </w:p>
        </w:tc>
      </w:tr>
      <w:tr w:rsidR="00C375DB" w:rsidRPr="00927A1B" w:rsidTr="006B6FE8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75DB" w:rsidRPr="00927A1B" w:rsidRDefault="00C375DB" w:rsidP="001E1B4E">
            <w:pPr>
              <w:spacing w:line="240" w:lineRule="auto"/>
              <w:jc w:val="left"/>
              <w:rPr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75DB" w:rsidRPr="00927A1B" w:rsidRDefault="00C375DB" w:rsidP="007A70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bCs/>
                <w:color w:val="000000"/>
                <w:sz w:val="20"/>
                <w:szCs w:val="20"/>
                <w:lang w:val="lt-LT" w:eastAsia="lt-LT"/>
              </w:rPr>
              <w:t>Dalykų skaičius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75DB" w:rsidRPr="00927A1B" w:rsidRDefault="00C375DB" w:rsidP="007A70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bCs/>
                <w:color w:val="000000"/>
                <w:sz w:val="20"/>
                <w:szCs w:val="20"/>
                <w:lang w:val="lt-LT" w:eastAsia="lt-LT"/>
              </w:rPr>
              <w:t>Dalykų skaičius</w:t>
            </w:r>
          </w:p>
        </w:tc>
      </w:tr>
      <w:tr w:rsidR="00692EBA" w:rsidRPr="00927A1B" w:rsidTr="006B6FE8">
        <w:trPr>
          <w:trHeight w:val="45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2EBA" w:rsidRPr="00927A1B" w:rsidRDefault="00692EBA" w:rsidP="001E1B4E">
            <w:pPr>
              <w:spacing w:line="240" w:lineRule="auto"/>
              <w:jc w:val="left"/>
              <w:rPr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ED6" w:rsidRPr="00927A1B" w:rsidRDefault="007A706A" w:rsidP="007A706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į</w:t>
            </w:r>
            <w:r w:rsidR="00960A62"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vertintų </w:t>
            </w:r>
            <w:r w:rsidR="00960A62" w:rsidRPr="00927A1B">
              <w:rPr>
                <w:b/>
                <w:color w:val="000000"/>
                <w:sz w:val="20"/>
                <w:szCs w:val="20"/>
                <w:lang w:val="lt-LT" w:eastAsia="lt-LT"/>
              </w:rPr>
              <w:t>10 ir 9</w:t>
            </w:r>
            <w:r w:rsidR="00960A62"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  <w:p w:rsidR="00692EBA" w:rsidRPr="00927A1B" w:rsidRDefault="00960A62" w:rsidP="007A70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b/>
                <w:color w:val="000000"/>
                <w:sz w:val="20"/>
                <w:szCs w:val="20"/>
                <w:lang w:val="lt-LT" w:eastAsia="lt-LT"/>
              </w:rPr>
              <w:t>ne mažiau</w:t>
            </w:r>
            <w:r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kaip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ED6" w:rsidRPr="00927A1B" w:rsidRDefault="00960A62" w:rsidP="00960A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įvertinų</w:t>
            </w:r>
            <w:r w:rsidRPr="00927A1B">
              <w:rPr>
                <w:b/>
                <w:color w:val="000000"/>
                <w:sz w:val="20"/>
                <w:szCs w:val="20"/>
                <w:lang w:val="lt-LT" w:eastAsia="lt-LT"/>
              </w:rPr>
              <w:t xml:space="preserve"> 8 ir 7</w:t>
            </w:r>
            <w:r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  <w:p w:rsidR="00692EBA" w:rsidRPr="00927A1B" w:rsidRDefault="00960A62" w:rsidP="00960A6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b/>
                <w:color w:val="000000"/>
                <w:sz w:val="20"/>
                <w:szCs w:val="20"/>
                <w:lang w:val="lt-LT" w:eastAsia="lt-LT"/>
              </w:rPr>
              <w:t>ne daugiau</w:t>
            </w:r>
            <w:r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kaip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ED6" w:rsidRPr="00927A1B" w:rsidRDefault="007A706A" w:rsidP="007A706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į</w:t>
            </w:r>
            <w:r w:rsidR="00960A62"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vertintų </w:t>
            </w:r>
            <w:r w:rsidR="00960A62" w:rsidRPr="00927A1B">
              <w:rPr>
                <w:b/>
                <w:color w:val="000000"/>
                <w:sz w:val="20"/>
                <w:szCs w:val="20"/>
                <w:lang w:val="lt-LT" w:eastAsia="lt-LT"/>
              </w:rPr>
              <w:t>10, 9, 8, 7</w:t>
            </w:r>
            <w:r w:rsidR="00960A62"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  <w:p w:rsidR="00692EBA" w:rsidRPr="00927A1B" w:rsidRDefault="00960A62" w:rsidP="007A70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b/>
                <w:color w:val="000000"/>
                <w:sz w:val="20"/>
                <w:szCs w:val="20"/>
                <w:lang w:val="lt-LT" w:eastAsia="lt-LT"/>
              </w:rPr>
              <w:t>ne mažiau</w:t>
            </w:r>
            <w:r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kaip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ED6" w:rsidRPr="00927A1B" w:rsidRDefault="007A706A" w:rsidP="007A706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į</w:t>
            </w:r>
            <w:r w:rsidR="00960A62"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vertintų </w:t>
            </w:r>
            <w:r w:rsidR="00960A62" w:rsidRPr="00927A1B">
              <w:rPr>
                <w:b/>
                <w:color w:val="000000"/>
                <w:sz w:val="20"/>
                <w:szCs w:val="20"/>
                <w:lang w:val="lt-LT" w:eastAsia="lt-LT"/>
              </w:rPr>
              <w:t>6 ir 5</w:t>
            </w:r>
            <w:r w:rsidRPr="00927A1B">
              <w:rPr>
                <w:b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  <w:p w:rsidR="00692EBA" w:rsidRPr="00927A1B" w:rsidRDefault="007A706A" w:rsidP="007A706A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b/>
                <w:color w:val="000000"/>
                <w:sz w:val="20"/>
                <w:szCs w:val="20"/>
                <w:lang w:val="lt-LT" w:eastAsia="lt-LT"/>
              </w:rPr>
              <w:t>ne daugiau</w:t>
            </w:r>
            <w:r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kaip</w:t>
            </w:r>
            <w:r w:rsidR="00960A62"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</w:tr>
      <w:tr w:rsidR="00C375DB" w:rsidRPr="00927A1B" w:rsidTr="006B6FE8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375DB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375DB" w:rsidP="00DA67C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6</w:t>
            </w:r>
            <w:r w:rsidR="0095635C"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375DB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11159" w:rsidP="00DA67C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  <w:r w:rsidR="007A706A"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11159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</w:tr>
      <w:tr w:rsidR="00C375DB" w:rsidRPr="00927A1B" w:rsidTr="006B6FE8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375DB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375DB" w:rsidP="00DA67C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5</w:t>
            </w:r>
            <w:r w:rsidR="0095635C"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375DB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96651D" w:rsidP="00DA67C5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val="lt-LT" w:eastAsia="lt-LT"/>
              </w:rPr>
            </w:pPr>
            <w:r w:rsidRPr="00927A1B">
              <w:rPr>
                <w:sz w:val="20"/>
                <w:szCs w:val="20"/>
                <w:lang w:val="lt-LT" w:eastAsia="lt-LT"/>
              </w:rPr>
              <w:t>5</w:t>
            </w:r>
            <w:r w:rsidR="00C375DB" w:rsidRPr="00927A1B">
              <w:rPr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96651D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</w:tr>
      <w:tr w:rsidR="00C375DB" w:rsidRPr="00927A1B" w:rsidTr="006B6FE8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375DB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375DB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375DB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375DB" w:rsidP="00DA67C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4</w:t>
            </w:r>
            <w:r w:rsidR="00DA67C5" w:rsidRPr="00927A1B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B" w:rsidRPr="00927A1B" w:rsidRDefault="00C375DB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</w:tr>
      <w:tr w:rsidR="00D93474" w:rsidRPr="00927A1B" w:rsidTr="006B6FE8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D93474" w:rsidP="00806EF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C11159" w:rsidP="00806EF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C11159" w:rsidP="00806EF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D93474" w:rsidP="00806EF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D93474" w:rsidP="00806EF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</w:tr>
      <w:tr w:rsidR="00D93474" w:rsidRPr="00927A1B" w:rsidTr="006B6FE8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D93474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C11159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C11159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C11159" w:rsidP="00DA67C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C11159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</w:tr>
      <w:tr w:rsidR="00D93474" w:rsidRPr="00927A1B" w:rsidTr="006B6FE8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D93474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D93474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D93474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D93474" w:rsidP="00DA67C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74" w:rsidRPr="00927A1B" w:rsidRDefault="00D93474" w:rsidP="001E1B4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27A1B">
              <w:rPr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</w:tr>
    </w:tbl>
    <w:p w:rsidR="00927A1B" w:rsidRDefault="00927A1B">
      <w:pPr>
        <w:rPr>
          <w:lang w:val="lt-LT"/>
        </w:rPr>
      </w:pPr>
    </w:p>
    <w:p w:rsidR="00927A1B" w:rsidRDefault="00927A1B" w:rsidP="001E1B4E">
      <w:pPr>
        <w:spacing w:line="240" w:lineRule="auto"/>
        <w:ind w:firstLine="426"/>
        <w:rPr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34D91" wp14:editId="3C0365F4">
                <wp:simplePos x="0" y="0"/>
                <wp:positionH relativeFrom="column">
                  <wp:posOffset>1927988</wp:posOffset>
                </wp:positionH>
                <wp:positionV relativeFrom="paragraph">
                  <wp:posOffset>82107</wp:posOffset>
                </wp:positionV>
                <wp:extent cx="2247900" cy="0"/>
                <wp:effectExtent l="0" t="0" r="1905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BCF75"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6.45pt" to="328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" strokecolor="black [3213]" strokeweight=".5pt"/>
            </w:pict>
          </mc:Fallback>
        </mc:AlternateContent>
      </w:r>
    </w:p>
    <w:p w:rsidR="00927A1B" w:rsidRDefault="00927A1B" w:rsidP="001E1B4E">
      <w:pPr>
        <w:spacing w:line="240" w:lineRule="auto"/>
        <w:ind w:firstLine="426"/>
        <w:rPr>
          <w:szCs w:val="24"/>
          <w:lang w:val="lt-LT"/>
        </w:rPr>
      </w:pPr>
      <w:bookmarkStart w:id="0" w:name="_GoBack"/>
      <w:bookmarkEnd w:id="0"/>
    </w:p>
    <w:p w:rsidR="001E1B4E" w:rsidRPr="00927A1B" w:rsidRDefault="001E1B4E" w:rsidP="00905A29">
      <w:pPr>
        <w:spacing w:line="276" w:lineRule="auto"/>
        <w:ind w:firstLine="426"/>
        <w:rPr>
          <w:szCs w:val="24"/>
          <w:lang w:val="lt-LT"/>
        </w:rPr>
      </w:pPr>
      <w:r w:rsidRPr="00927A1B">
        <w:rPr>
          <w:szCs w:val="24"/>
          <w:lang w:val="lt-LT"/>
        </w:rPr>
        <w:t>P.</w:t>
      </w:r>
      <w:r w:rsidR="00905A29">
        <w:rPr>
          <w:szCs w:val="24"/>
          <w:lang w:val="lt-LT"/>
        </w:rPr>
        <w:t> </w:t>
      </w:r>
      <w:r w:rsidRPr="00927A1B">
        <w:rPr>
          <w:szCs w:val="24"/>
          <w:lang w:val="lt-LT"/>
        </w:rPr>
        <w:t xml:space="preserve">S. </w:t>
      </w:r>
      <w:r w:rsidRPr="00927A1B">
        <w:rPr>
          <w:b/>
          <w:szCs w:val="24"/>
          <w:lang w:val="lt-LT"/>
        </w:rPr>
        <w:t>Studijų rezultatų pasiekimų lygmens nustatymo kriterijai</w:t>
      </w:r>
      <w:r w:rsidRPr="00927A1B">
        <w:rPr>
          <w:szCs w:val="24"/>
          <w:lang w:val="lt-LT"/>
        </w:rPr>
        <w:t xml:space="preserve">: Studentas laikomas pasiekusiu </w:t>
      </w:r>
      <w:r w:rsidRPr="00927A1B">
        <w:rPr>
          <w:b/>
          <w:szCs w:val="24"/>
          <w:lang w:val="lt-LT"/>
        </w:rPr>
        <w:t>puikų</w:t>
      </w:r>
      <w:r w:rsidRPr="00927A1B">
        <w:rPr>
          <w:szCs w:val="24"/>
          <w:lang w:val="lt-LT"/>
        </w:rPr>
        <w:t xml:space="preserve"> </w:t>
      </w:r>
      <w:r w:rsidR="00D93474" w:rsidRPr="00927A1B">
        <w:rPr>
          <w:szCs w:val="24"/>
          <w:lang w:val="lt-LT"/>
        </w:rPr>
        <w:t>semestro</w:t>
      </w:r>
      <w:r w:rsidRPr="00927A1B">
        <w:rPr>
          <w:szCs w:val="24"/>
          <w:lang w:val="lt-LT"/>
        </w:rPr>
        <w:t xml:space="preserve"> studijų pasiekimų lygmenį, jeigu </w:t>
      </w:r>
      <w:r w:rsidRPr="00927A1B">
        <w:rPr>
          <w:b/>
          <w:szCs w:val="24"/>
          <w:lang w:val="lt-LT"/>
        </w:rPr>
        <w:t>ne mažiau kaip keturi penktadaliai</w:t>
      </w:r>
      <w:r w:rsidRPr="00927A1B">
        <w:rPr>
          <w:szCs w:val="24"/>
          <w:lang w:val="lt-LT"/>
        </w:rPr>
        <w:t xml:space="preserve"> (80 proc.) </w:t>
      </w:r>
      <w:r w:rsidR="00960A62" w:rsidRPr="00927A1B">
        <w:rPr>
          <w:szCs w:val="24"/>
          <w:lang w:val="lt-LT"/>
        </w:rPr>
        <w:t>dalykų</w:t>
      </w:r>
      <w:r w:rsidRPr="00927A1B">
        <w:rPr>
          <w:szCs w:val="24"/>
          <w:lang w:val="lt-LT"/>
        </w:rPr>
        <w:t xml:space="preserve"> įvertinimų yra puikaus lygmens, o kiti – ne žemesnio kaip tipinio lygmens</w:t>
      </w:r>
      <w:r w:rsidR="00927A1B">
        <w:rPr>
          <w:szCs w:val="24"/>
          <w:lang w:val="lt-LT"/>
        </w:rPr>
        <w:t>.</w:t>
      </w:r>
    </w:p>
    <w:p w:rsidR="001E1B4E" w:rsidRPr="00927A1B" w:rsidRDefault="001E1B4E" w:rsidP="00905A29">
      <w:pPr>
        <w:spacing w:line="276" w:lineRule="auto"/>
        <w:ind w:firstLine="426"/>
        <w:rPr>
          <w:b/>
          <w:szCs w:val="24"/>
          <w:lang w:val="lt-LT"/>
        </w:rPr>
      </w:pPr>
      <w:r w:rsidRPr="00927A1B">
        <w:rPr>
          <w:szCs w:val="24"/>
          <w:lang w:val="lt-LT"/>
        </w:rPr>
        <w:t xml:space="preserve">Studentas laikomas pasiekusiu </w:t>
      </w:r>
      <w:r w:rsidRPr="00927A1B">
        <w:rPr>
          <w:b/>
          <w:szCs w:val="24"/>
          <w:lang w:val="lt-LT"/>
        </w:rPr>
        <w:t>tipinį</w:t>
      </w:r>
      <w:r w:rsidRPr="00927A1B">
        <w:rPr>
          <w:szCs w:val="24"/>
          <w:lang w:val="lt-LT"/>
        </w:rPr>
        <w:t xml:space="preserve"> </w:t>
      </w:r>
      <w:r w:rsidR="00D93474" w:rsidRPr="00927A1B">
        <w:rPr>
          <w:szCs w:val="24"/>
          <w:lang w:val="lt-LT"/>
        </w:rPr>
        <w:t>semestro</w:t>
      </w:r>
      <w:r w:rsidRPr="00927A1B">
        <w:rPr>
          <w:szCs w:val="24"/>
          <w:lang w:val="lt-LT"/>
        </w:rPr>
        <w:t xml:space="preserve"> studijų pasiekimų lygmenį, jeigu </w:t>
      </w:r>
      <w:r w:rsidRPr="00927A1B">
        <w:rPr>
          <w:b/>
          <w:szCs w:val="24"/>
          <w:lang w:val="lt-LT"/>
        </w:rPr>
        <w:t xml:space="preserve">ne mažiau kaip trys ketvirtadaliai </w:t>
      </w:r>
      <w:r w:rsidRPr="00927A1B">
        <w:rPr>
          <w:szCs w:val="24"/>
          <w:lang w:val="lt-LT"/>
        </w:rPr>
        <w:t xml:space="preserve">(75 proc.) dalykų įvertinimų yra </w:t>
      </w:r>
      <w:r w:rsidRPr="00927A1B">
        <w:rPr>
          <w:b/>
          <w:szCs w:val="24"/>
          <w:lang w:val="lt-LT"/>
        </w:rPr>
        <w:t>tipinio arba puikaus lygmens</w:t>
      </w:r>
      <w:r w:rsidRPr="00927A1B">
        <w:rPr>
          <w:szCs w:val="24"/>
          <w:lang w:val="lt-LT"/>
        </w:rPr>
        <w:t>, o kiti – slenkstinio lygmens</w:t>
      </w:r>
      <w:r w:rsidR="00927A1B">
        <w:rPr>
          <w:szCs w:val="24"/>
          <w:lang w:val="lt-LT"/>
        </w:rPr>
        <w:t>.</w:t>
      </w:r>
      <w:r w:rsidRPr="00927A1B">
        <w:rPr>
          <w:szCs w:val="24"/>
          <w:lang w:val="lt-LT"/>
        </w:rPr>
        <w:t xml:space="preserve"> </w:t>
      </w:r>
    </w:p>
    <w:p w:rsidR="007B33CA" w:rsidRPr="00927A1B" w:rsidRDefault="00B9577A" w:rsidP="00905A29">
      <w:pPr>
        <w:spacing w:line="276" w:lineRule="auto"/>
        <w:ind w:firstLine="426"/>
        <w:rPr>
          <w:szCs w:val="24"/>
          <w:lang w:val="lt-LT"/>
        </w:rPr>
      </w:pPr>
      <w:r w:rsidRPr="00927A1B">
        <w:rPr>
          <w:szCs w:val="24"/>
          <w:lang w:val="lt-LT"/>
        </w:rPr>
        <w:t xml:space="preserve">Studentas laikomas pasiekusiu </w:t>
      </w:r>
      <w:r w:rsidRPr="00927A1B">
        <w:rPr>
          <w:b/>
          <w:szCs w:val="24"/>
          <w:lang w:val="lt-LT"/>
        </w:rPr>
        <w:t>slenkstinį</w:t>
      </w:r>
      <w:r w:rsidRPr="00927A1B">
        <w:rPr>
          <w:szCs w:val="24"/>
          <w:lang w:val="lt-LT"/>
        </w:rPr>
        <w:t xml:space="preserve"> </w:t>
      </w:r>
      <w:r w:rsidR="00D93474" w:rsidRPr="00927A1B">
        <w:rPr>
          <w:szCs w:val="24"/>
          <w:lang w:val="lt-LT"/>
        </w:rPr>
        <w:t>semestro</w:t>
      </w:r>
      <w:r w:rsidRPr="00927A1B">
        <w:rPr>
          <w:szCs w:val="24"/>
          <w:lang w:val="lt-LT"/>
        </w:rPr>
        <w:t xml:space="preserve"> studijų pasiekimų lygmenį, jeigu jis yra </w:t>
      </w:r>
      <w:r w:rsidRPr="00927A1B">
        <w:rPr>
          <w:b/>
          <w:szCs w:val="24"/>
          <w:lang w:val="lt-LT"/>
        </w:rPr>
        <w:t>atsiskaitęs</w:t>
      </w:r>
      <w:r w:rsidRPr="00927A1B">
        <w:rPr>
          <w:szCs w:val="24"/>
          <w:lang w:val="lt-LT"/>
        </w:rPr>
        <w:t xml:space="preserve"> už visus dalykus, bet jo studijų pasiekimai </w:t>
      </w:r>
      <w:r w:rsidRPr="00927A1B">
        <w:rPr>
          <w:b/>
          <w:szCs w:val="24"/>
          <w:lang w:val="lt-LT"/>
        </w:rPr>
        <w:t>nesiekia tipinio</w:t>
      </w:r>
      <w:r w:rsidRPr="00927A1B">
        <w:rPr>
          <w:szCs w:val="24"/>
          <w:lang w:val="lt-LT"/>
        </w:rPr>
        <w:t xml:space="preserve"> lygmens</w:t>
      </w:r>
      <w:r w:rsidR="00927A1B">
        <w:rPr>
          <w:szCs w:val="24"/>
          <w:lang w:val="lt-LT"/>
        </w:rPr>
        <w:t>.</w:t>
      </w:r>
    </w:p>
    <w:sectPr w:rsidR="007B33CA" w:rsidRPr="00927A1B" w:rsidSect="006B6F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3CA"/>
    <w:rsid w:val="00081257"/>
    <w:rsid w:val="000C4BAA"/>
    <w:rsid w:val="001E1B4E"/>
    <w:rsid w:val="00367A63"/>
    <w:rsid w:val="003D728B"/>
    <w:rsid w:val="003E3F97"/>
    <w:rsid w:val="004211A4"/>
    <w:rsid w:val="004A3513"/>
    <w:rsid w:val="0067416F"/>
    <w:rsid w:val="00692EBA"/>
    <w:rsid w:val="006B6FE8"/>
    <w:rsid w:val="00724BCE"/>
    <w:rsid w:val="007A706A"/>
    <w:rsid w:val="007B33CA"/>
    <w:rsid w:val="00802DA9"/>
    <w:rsid w:val="008C0D3E"/>
    <w:rsid w:val="00905A29"/>
    <w:rsid w:val="00927A1B"/>
    <w:rsid w:val="0095635C"/>
    <w:rsid w:val="00960A62"/>
    <w:rsid w:val="0096651D"/>
    <w:rsid w:val="009B257E"/>
    <w:rsid w:val="009B4997"/>
    <w:rsid w:val="009F221F"/>
    <w:rsid w:val="00A32622"/>
    <w:rsid w:val="00A9357D"/>
    <w:rsid w:val="00B75708"/>
    <w:rsid w:val="00B9577A"/>
    <w:rsid w:val="00C11159"/>
    <w:rsid w:val="00C375DB"/>
    <w:rsid w:val="00C64147"/>
    <w:rsid w:val="00D17ED6"/>
    <w:rsid w:val="00D93474"/>
    <w:rsid w:val="00DA67C5"/>
    <w:rsid w:val="00E422FE"/>
    <w:rsid w:val="00F4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AAC1"/>
  <w15:docId w15:val="{9EB8285E-FD79-47AA-8A3B-43F688CA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64147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qFormat/>
    <w:rsid w:val="00C64147"/>
    <w:pPr>
      <w:ind w:left="720"/>
      <w:contextualSpacing/>
    </w:pPr>
  </w:style>
  <w:style w:type="character" w:styleId="Emfaz">
    <w:name w:val="Emphasis"/>
    <w:uiPriority w:val="99"/>
    <w:qFormat/>
    <w:rsid w:val="00C64147"/>
    <w:rPr>
      <w:rFonts w:cs="Times New Roman"/>
      <w:b/>
    </w:rPr>
  </w:style>
  <w:style w:type="paragraph" w:styleId="Sraopastraipa">
    <w:name w:val="List Paragraph"/>
    <w:basedOn w:val="prastasis"/>
    <w:uiPriority w:val="99"/>
    <w:qFormat/>
    <w:rsid w:val="00C64147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E1B4E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2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2EBA"/>
    <w:rPr>
      <w:rFonts w:ascii="Tahoma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4631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4631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4631F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463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4631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Audronė Ožalienė</cp:lastModifiedBy>
  <cp:revision>16</cp:revision>
  <cp:lastPrinted>2023-08-22T07:43:00Z</cp:lastPrinted>
  <dcterms:created xsi:type="dcterms:W3CDTF">2016-10-06T09:20:00Z</dcterms:created>
  <dcterms:modified xsi:type="dcterms:W3CDTF">2023-08-22T07:43:00Z</dcterms:modified>
</cp:coreProperties>
</file>