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B930" w14:textId="77777777" w:rsidR="00D521A3" w:rsidRDefault="0042467A" w:rsidP="008F64DA">
      <w:pPr>
        <w:tabs>
          <w:tab w:val="decimal" w:pos="2268"/>
          <w:tab w:val="left" w:pos="7480"/>
        </w:tabs>
        <w:spacing w:line="276" w:lineRule="auto"/>
        <w:jc w:val="center"/>
        <w:rPr>
          <w:b/>
          <w:caps/>
          <w:lang w:val="en-GB"/>
        </w:rPr>
      </w:pPr>
      <w:bookmarkStart w:id="0" w:name="_GoBack"/>
      <w:bookmarkEnd w:id="0"/>
      <w:r w:rsidRPr="0043262A">
        <w:rPr>
          <w:b/>
          <w:caps/>
          <w:lang w:val="en-GB"/>
        </w:rPr>
        <w:t>EXTRACT of</w:t>
      </w:r>
      <w:r w:rsidR="000B1358">
        <w:rPr>
          <w:b/>
          <w:caps/>
          <w:lang w:val="en-GB"/>
        </w:rPr>
        <w:t xml:space="preserve"> MANAGEMENT</w:t>
      </w:r>
      <w:r w:rsidR="006501B9" w:rsidRPr="0043262A">
        <w:rPr>
          <w:b/>
          <w:caps/>
          <w:lang w:val="en-GB"/>
        </w:rPr>
        <w:t xml:space="preserve"> study field </w:t>
      </w:r>
      <w:r w:rsidR="00E90C75" w:rsidRPr="0043262A">
        <w:rPr>
          <w:b/>
          <w:caps/>
          <w:lang w:val="en-GB"/>
        </w:rPr>
        <w:t xml:space="preserve">evaluation report </w:t>
      </w:r>
      <w:r w:rsidRPr="0043262A">
        <w:rPr>
          <w:b/>
          <w:caps/>
          <w:lang w:val="en-GB"/>
        </w:rPr>
        <w:t>at</w:t>
      </w:r>
      <w:r w:rsidR="000B1358">
        <w:rPr>
          <w:b/>
          <w:caps/>
          <w:lang w:val="en-GB"/>
        </w:rPr>
        <w:t xml:space="preserve"> </w:t>
      </w:r>
    </w:p>
    <w:p w14:paraId="08E66B11" w14:textId="0BDCC156" w:rsidR="006501B9" w:rsidRPr="0043262A" w:rsidRDefault="002026A9" w:rsidP="008F64DA">
      <w:pPr>
        <w:tabs>
          <w:tab w:val="decimal" w:pos="2268"/>
          <w:tab w:val="left" w:pos="7480"/>
        </w:tabs>
        <w:spacing w:line="276" w:lineRule="auto"/>
        <w:jc w:val="center"/>
        <w:rPr>
          <w:b/>
          <w:caps/>
          <w:lang w:val="en-GB"/>
        </w:rPr>
      </w:pPr>
      <w:r>
        <w:rPr>
          <w:b/>
          <w:caps/>
        </w:rPr>
        <w:t>ŠIAULIŲ VALSTYBINĖ</w:t>
      </w:r>
      <w:r w:rsidR="000B1358">
        <w:rPr>
          <w:b/>
          <w:caps/>
          <w:lang w:val="en-GB"/>
        </w:rPr>
        <w:t xml:space="preserve"> KOLEGIJA</w:t>
      </w:r>
      <w:r w:rsidR="006501B9" w:rsidRPr="0043262A">
        <w:rPr>
          <w:b/>
          <w:caps/>
          <w:lang w:val="en-GB"/>
        </w:rPr>
        <w:t xml:space="preserve"> </w:t>
      </w:r>
    </w:p>
    <w:p w14:paraId="0AA61D4E" w14:textId="44633071" w:rsidR="0042467A" w:rsidRPr="002026A9" w:rsidRDefault="000B1358" w:rsidP="008F64DA">
      <w:pPr>
        <w:tabs>
          <w:tab w:val="decimal" w:pos="2268"/>
          <w:tab w:val="left" w:pos="7480"/>
        </w:tabs>
        <w:spacing w:line="276" w:lineRule="auto"/>
        <w:jc w:val="center"/>
        <w:rPr>
          <w:b/>
          <w:caps/>
          <w:lang w:val="en-US"/>
        </w:rPr>
      </w:pPr>
      <w:r>
        <w:rPr>
          <w:b/>
          <w:caps/>
          <w:lang w:val="en-US"/>
        </w:rPr>
        <w:t xml:space="preserve">27 october 2023, </w:t>
      </w:r>
      <w:r w:rsidR="0042467A" w:rsidRPr="0043262A">
        <w:rPr>
          <w:b/>
          <w:caps/>
          <w:lang w:val="en-GB"/>
        </w:rPr>
        <w:t xml:space="preserve">NO. </w:t>
      </w:r>
      <w:r w:rsidR="002F4424" w:rsidRPr="0043262A">
        <w:rPr>
          <w:b/>
          <w:color w:val="000000"/>
          <w:lang w:val="en-GB"/>
        </w:rPr>
        <w:t>SV4-</w:t>
      </w:r>
      <w:r>
        <w:rPr>
          <w:b/>
          <w:color w:val="000000"/>
          <w:lang w:val="en-GB"/>
        </w:rPr>
        <w:t>8</w:t>
      </w:r>
      <w:r w:rsidR="002026A9">
        <w:rPr>
          <w:b/>
          <w:color w:val="000000"/>
          <w:lang w:val="en-US"/>
        </w:rPr>
        <w:t>2</w:t>
      </w:r>
    </w:p>
    <w:p w14:paraId="21BF00AB" w14:textId="77777777" w:rsidR="0042467A" w:rsidRPr="0043262A" w:rsidRDefault="0042467A" w:rsidP="008F64DA">
      <w:pPr>
        <w:spacing w:line="276" w:lineRule="auto"/>
        <w:jc w:val="center"/>
        <w:rPr>
          <w:sz w:val="16"/>
          <w:lang w:val="en-GB"/>
        </w:rPr>
      </w:pPr>
    </w:p>
    <w:p w14:paraId="378976F7" w14:textId="77777777" w:rsidR="0042467A" w:rsidRPr="0043262A" w:rsidRDefault="0042467A" w:rsidP="008F64DA">
      <w:pPr>
        <w:spacing w:line="276" w:lineRule="auto"/>
        <w:rPr>
          <w:sz w:val="16"/>
          <w:lang w:val="en-GB"/>
        </w:rPr>
      </w:pPr>
    </w:p>
    <w:p w14:paraId="2FA5A937" w14:textId="77777777" w:rsidR="006501B9" w:rsidRPr="0043262A" w:rsidRDefault="006501B9" w:rsidP="008F64DA">
      <w:pPr>
        <w:spacing w:line="276" w:lineRule="auto"/>
        <w:jc w:val="center"/>
        <w:rPr>
          <w:rFonts w:ascii="Cambria" w:eastAsia="Calibri" w:hAnsi="Cambria"/>
          <w:i/>
          <w:sz w:val="36"/>
          <w:szCs w:val="36"/>
          <w:lang w:val="en-GB" w:eastAsia="lt-LT"/>
        </w:rPr>
      </w:pPr>
      <w:r w:rsidRPr="0043262A">
        <w:rPr>
          <w:i/>
          <w:noProof/>
          <w:sz w:val="36"/>
          <w:szCs w:val="36"/>
          <w:lang w:val="en-US" w:eastAsia="en-US"/>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8F64DA">
      <w:pPr>
        <w:spacing w:line="276" w:lineRule="auto"/>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8F64DA">
      <w:pPr>
        <w:spacing w:line="276" w:lineRule="auto"/>
        <w:rPr>
          <w:rFonts w:ascii="Cambria" w:eastAsia="Calibri" w:hAnsi="Cambria"/>
          <w:color w:val="136C73"/>
          <w:lang w:val="en-GB" w:eastAsia="lt-LT"/>
        </w:rPr>
      </w:pPr>
    </w:p>
    <w:p w14:paraId="084133C7" w14:textId="77777777" w:rsidR="006501B9" w:rsidRPr="0043262A" w:rsidRDefault="006501B9" w:rsidP="008F64DA">
      <w:pPr>
        <w:spacing w:line="276" w:lineRule="auto"/>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8F64DA">
      <w:pPr>
        <w:spacing w:line="360" w:lineRule="auto"/>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6FC347C6" w:rsidR="006501B9" w:rsidRPr="0043262A" w:rsidRDefault="006501B9" w:rsidP="008F64DA">
      <w:pPr>
        <w:spacing w:line="360" w:lineRule="auto"/>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E90C75">
        <w:rPr>
          <w:rFonts w:ascii="Cambria" w:eastAsia="Calibri" w:hAnsi="Cambria"/>
          <w:b/>
          <w:color w:val="136C73"/>
          <w:sz w:val="28"/>
          <w:szCs w:val="28"/>
          <w:lang w:val="en-GB" w:eastAsia="lt-LT"/>
        </w:rPr>
        <w:t>OF</w:t>
      </w:r>
    </w:p>
    <w:p w14:paraId="637C5CEE" w14:textId="642E6F4C" w:rsidR="006501B9" w:rsidRPr="0043262A" w:rsidRDefault="000B1358" w:rsidP="008F64DA">
      <w:pPr>
        <w:spacing w:line="360" w:lineRule="auto"/>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MANAGEMENT</w:t>
      </w:r>
    </w:p>
    <w:p w14:paraId="35060F52" w14:textId="707B547B" w:rsidR="006501B9" w:rsidRPr="0043262A" w:rsidRDefault="006501B9" w:rsidP="008F64DA">
      <w:pPr>
        <w:spacing w:line="360" w:lineRule="auto"/>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 xml:space="preserve">at </w:t>
      </w:r>
      <w:r w:rsidR="002026A9">
        <w:rPr>
          <w:rFonts w:ascii="Cambria" w:eastAsia="Calibri" w:hAnsi="Cambria"/>
          <w:color w:val="136C73"/>
          <w:sz w:val="28"/>
          <w:szCs w:val="28"/>
          <w:lang w:eastAsia="lt-LT"/>
        </w:rPr>
        <w:t>Šiaulių valstybinė kolegija</w:t>
      </w:r>
      <w:r w:rsidRPr="0043262A">
        <w:rPr>
          <w:rFonts w:ascii="Cambria" w:eastAsia="Calibri" w:hAnsi="Cambria"/>
          <w:b/>
          <w:i/>
          <w:color w:val="136C73"/>
          <w:sz w:val="28"/>
          <w:szCs w:val="28"/>
          <w:lang w:val="en-GB" w:eastAsia="lt-LT"/>
        </w:rPr>
        <w:t xml:space="preserve"> </w:t>
      </w:r>
      <w:r w:rsidRPr="0043262A">
        <w:rPr>
          <w:rFonts w:ascii="Cambria" w:eastAsia="Calibri" w:hAnsi="Cambria"/>
          <w:color w:val="136C73"/>
          <w:sz w:val="28"/>
          <w:szCs w:val="28"/>
          <w:lang w:val="en-GB" w:eastAsia="lt-LT"/>
        </w:rPr>
        <w:t>(</w:t>
      </w:r>
      <w:r w:rsidR="002026A9">
        <w:rPr>
          <w:rFonts w:ascii="Cambria" w:eastAsia="Calibri" w:hAnsi="Cambria"/>
          <w:color w:val="136C73"/>
          <w:sz w:val="28"/>
          <w:szCs w:val="28"/>
          <w:lang w:val="en-GB" w:eastAsia="lt-LT"/>
        </w:rPr>
        <w:t>SVK</w:t>
      </w:r>
      <w:r w:rsidRPr="0043262A">
        <w:rPr>
          <w:rFonts w:ascii="Cambria" w:eastAsia="Calibri" w:hAnsi="Cambria"/>
          <w:color w:val="136C73"/>
          <w:sz w:val="28"/>
          <w:szCs w:val="28"/>
          <w:lang w:val="en-GB" w:eastAsia="lt-LT"/>
        </w:rPr>
        <w:t>)</w:t>
      </w:r>
    </w:p>
    <w:p w14:paraId="4486961B" w14:textId="77777777" w:rsidR="006501B9" w:rsidRPr="0043262A" w:rsidRDefault="006501B9" w:rsidP="008F64DA">
      <w:pPr>
        <w:spacing w:line="276" w:lineRule="auto"/>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A395110" w14:textId="77777777" w:rsidR="006501B9" w:rsidRPr="0043262A" w:rsidRDefault="006501B9" w:rsidP="008F64DA">
            <w:pPr>
              <w:tabs>
                <w:tab w:val="left" w:pos="0"/>
              </w:tabs>
              <w:spacing w:line="276" w:lineRule="auto"/>
              <w:rPr>
                <w:rFonts w:ascii="Cambria" w:eastAsia="Calibri" w:hAnsi="Cambria"/>
                <w:b/>
                <w:color w:val="FFFFFF"/>
                <w:lang w:val="en-GB" w:eastAsia="lt-LT"/>
              </w:rPr>
            </w:pPr>
            <w:r w:rsidRPr="0043262A">
              <w:rPr>
                <w:rFonts w:ascii="Cambria" w:eastAsia="Calibri" w:hAnsi="Cambria"/>
                <w:b/>
                <w:color w:val="FFFFFF"/>
                <w:lang w:val="en-GB" w:eastAsia="lt-LT"/>
              </w:rPr>
              <w:t>Expert panel:</w:t>
            </w:r>
          </w:p>
          <w:p w14:paraId="2B5C27C5"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 xml:space="preserve">Prof. Dr. Steffen Roth (panel chairperson), </w:t>
            </w:r>
            <w:r w:rsidRPr="000B1358">
              <w:rPr>
                <w:rFonts w:ascii="Cambria" w:eastAsia="Cambria" w:hAnsi="Cambria" w:cs="Cambria"/>
                <w:i/>
                <w:color w:val="FFFFFF"/>
                <w:lang w:val="en-GB"/>
              </w:rPr>
              <w:t>academic member;</w:t>
            </w:r>
          </w:p>
          <w:p w14:paraId="096E71C3"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Prof. Dr. Christian Schachtner,</w:t>
            </w:r>
            <w:r w:rsidRPr="000B1358">
              <w:rPr>
                <w:rFonts w:ascii="Cambria" w:eastAsia="Cambria" w:hAnsi="Cambria" w:cs="Cambria"/>
                <w:i/>
                <w:color w:val="FFFFFF"/>
                <w:lang w:val="en-GB"/>
              </w:rPr>
              <w:t xml:space="preserve"> academic member;</w:t>
            </w:r>
          </w:p>
          <w:p w14:paraId="6D0EEB00"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Assoc. Prof. Dr. Adam Jabłoński,</w:t>
            </w:r>
            <w:r w:rsidRPr="000B1358">
              <w:rPr>
                <w:rFonts w:ascii="Cambria" w:eastAsia="Cambria" w:hAnsi="Cambria" w:cs="Cambria"/>
                <w:i/>
                <w:color w:val="FFFFFF"/>
                <w:lang w:val="en-GB"/>
              </w:rPr>
              <w:t xml:space="preserve"> academic member;</w:t>
            </w:r>
          </w:p>
          <w:p w14:paraId="705A62CC"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 xml:space="preserve">Assoc. Prof. Dmitrijs Kravčenko, </w:t>
            </w:r>
            <w:r w:rsidRPr="000B1358">
              <w:rPr>
                <w:rFonts w:ascii="Cambria" w:eastAsia="Cambria" w:hAnsi="Cambria" w:cs="Cambria"/>
                <w:i/>
                <w:color w:val="FFFFFF"/>
                <w:lang w:val="en-GB"/>
              </w:rPr>
              <w:t>academic member;</w:t>
            </w:r>
          </w:p>
          <w:p w14:paraId="568D196E"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 xml:space="preserve">Prof. Dr. Tadas Gudaitis, </w:t>
            </w:r>
            <w:r w:rsidRPr="000B1358">
              <w:rPr>
                <w:rFonts w:ascii="Cambria" w:eastAsia="Cambria" w:hAnsi="Cambria" w:cs="Cambria"/>
                <w:i/>
                <w:color w:val="FFFFFF"/>
                <w:lang w:val="en-GB"/>
              </w:rPr>
              <w:t>representative of social partners;</w:t>
            </w:r>
          </w:p>
          <w:p w14:paraId="7E156B65" w14:textId="77777777" w:rsidR="000B1358" w:rsidRPr="000B1358" w:rsidRDefault="000B1358" w:rsidP="000B1358">
            <w:pPr>
              <w:numPr>
                <w:ilvl w:val="0"/>
                <w:numId w:val="35"/>
              </w:numPr>
              <w:tabs>
                <w:tab w:val="left" w:pos="0"/>
              </w:tabs>
              <w:spacing w:line="360" w:lineRule="auto"/>
              <w:ind w:left="729" w:hanging="425"/>
              <w:rPr>
                <w:rFonts w:ascii="Cambria" w:eastAsia="Cambria" w:hAnsi="Cambria" w:cs="Cambria"/>
                <w:b/>
                <w:color w:val="FFFFFF"/>
                <w:lang w:val="en-GB"/>
              </w:rPr>
            </w:pPr>
            <w:r w:rsidRPr="000B1358">
              <w:rPr>
                <w:rFonts w:ascii="Cambria" w:eastAsia="Cambria" w:hAnsi="Cambria" w:cs="Cambria"/>
                <w:b/>
                <w:color w:val="FFFFFF"/>
                <w:lang w:val="en-GB"/>
              </w:rPr>
              <w:t xml:space="preserve">Ms Ieva Porutytė, </w:t>
            </w:r>
            <w:r w:rsidRPr="000B1358">
              <w:rPr>
                <w:rFonts w:ascii="Cambria" w:eastAsia="Cambria" w:hAnsi="Cambria" w:cs="Cambria"/>
                <w:i/>
                <w:color w:val="FFFFFF"/>
                <w:lang w:val="en-GB"/>
              </w:rPr>
              <w:t>students’ representative</w:t>
            </w:r>
            <w:r w:rsidRPr="000B1358">
              <w:rPr>
                <w:rFonts w:ascii="Cambria" w:eastAsia="Cambria" w:hAnsi="Cambria" w:cs="Cambria"/>
                <w:color w:val="FFFFFF"/>
                <w:lang w:val="en-GB"/>
              </w:rPr>
              <w:t>.</w:t>
            </w:r>
          </w:p>
          <w:p w14:paraId="16C60B1D" w14:textId="77777777" w:rsidR="000B1358" w:rsidRPr="000B1358" w:rsidRDefault="000B1358" w:rsidP="000B1358">
            <w:pPr>
              <w:tabs>
                <w:tab w:val="left" w:pos="0"/>
              </w:tabs>
              <w:spacing w:line="360" w:lineRule="auto"/>
              <w:rPr>
                <w:rFonts w:ascii="Cambria" w:eastAsia="Cambria" w:hAnsi="Cambria" w:cs="Cambria"/>
                <w:b/>
                <w:color w:val="FFFFFF"/>
                <w:lang w:val="en-GB"/>
              </w:rPr>
            </w:pPr>
          </w:p>
          <w:p w14:paraId="605BF0F4" w14:textId="46A5101B" w:rsidR="006501B9" w:rsidRPr="0043262A" w:rsidRDefault="000B1358" w:rsidP="000B1358">
            <w:pPr>
              <w:tabs>
                <w:tab w:val="left" w:pos="0"/>
              </w:tabs>
              <w:spacing w:line="276" w:lineRule="auto"/>
              <w:rPr>
                <w:rFonts w:ascii="Cambria" w:eastAsia="Calibri" w:hAnsi="Cambria"/>
                <w:b/>
                <w:i/>
                <w:color w:val="571C1F"/>
                <w:lang w:val="en-GB" w:eastAsia="lt-LT"/>
              </w:rPr>
            </w:pPr>
            <w:r w:rsidRPr="000B1358">
              <w:rPr>
                <w:rFonts w:ascii="Cambria" w:eastAsia="Cambria" w:hAnsi="Cambria" w:cs="Cambria"/>
                <w:b/>
                <w:color w:val="FFFFFF"/>
                <w:lang w:val="en-GB"/>
              </w:rPr>
              <w:t xml:space="preserve">Evaluation coordinator – </w:t>
            </w:r>
            <w:r w:rsidRPr="000B1358">
              <w:rPr>
                <w:rFonts w:ascii="Cambria" w:eastAsia="Cambria" w:hAnsi="Cambria" w:cs="Cambria"/>
                <w:b/>
                <w:i/>
                <w:color w:val="FFFFFF"/>
                <w:lang w:val="en-GB"/>
              </w:rPr>
              <w:t>Ms Austėja Pliupelytė</w:t>
            </w:r>
          </w:p>
        </w:tc>
      </w:tr>
    </w:tbl>
    <w:p w14:paraId="6B0B8865" w14:textId="77777777" w:rsidR="006501B9" w:rsidRPr="0043262A" w:rsidRDefault="006501B9" w:rsidP="008F64DA">
      <w:pPr>
        <w:pStyle w:val="Betarp"/>
        <w:spacing w:line="276" w:lineRule="auto"/>
        <w:rPr>
          <w:lang w:val="en-GB" w:eastAsia="lt-LT"/>
        </w:rPr>
      </w:pPr>
    </w:p>
    <w:p w14:paraId="347C8008" w14:textId="77777777" w:rsidR="006501B9" w:rsidRPr="0043262A" w:rsidRDefault="006501B9" w:rsidP="008F64DA">
      <w:pPr>
        <w:pStyle w:val="Betarp"/>
        <w:spacing w:line="276" w:lineRule="auto"/>
        <w:rPr>
          <w:rFonts w:ascii="Cambria" w:hAnsi="Cambria"/>
          <w:color w:val="136C73"/>
          <w:szCs w:val="24"/>
          <w:lang w:val="en-GB" w:eastAsia="lt-LT"/>
        </w:rPr>
      </w:pPr>
    </w:p>
    <w:p w14:paraId="274877C4" w14:textId="77777777" w:rsidR="006501B9" w:rsidRPr="0043262A" w:rsidRDefault="006501B9" w:rsidP="008F64DA">
      <w:pPr>
        <w:pStyle w:val="Betarp"/>
        <w:spacing w:line="276" w:lineRule="auto"/>
        <w:rPr>
          <w:rFonts w:ascii="Cambria" w:hAnsi="Cambria"/>
          <w:color w:val="136C73"/>
          <w:szCs w:val="24"/>
          <w:lang w:val="en-GB" w:eastAsia="lt-LT"/>
        </w:rPr>
      </w:pPr>
    </w:p>
    <w:p w14:paraId="7BDB5806" w14:textId="77777777" w:rsidR="006501B9" w:rsidRPr="0043262A" w:rsidRDefault="006501B9" w:rsidP="008F64DA">
      <w:pPr>
        <w:pStyle w:val="Betarp"/>
        <w:spacing w:line="276" w:lineRule="auto"/>
        <w:rPr>
          <w:rFonts w:ascii="Cambria" w:hAnsi="Cambria"/>
          <w:color w:val="136C73"/>
          <w:szCs w:val="24"/>
          <w:lang w:val="en-GB" w:eastAsia="lt-LT"/>
        </w:rPr>
      </w:pPr>
    </w:p>
    <w:p w14:paraId="28CCCBA7" w14:textId="77777777" w:rsidR="000D4EE3" w:rsidRPr="0043262A" w:rsidRDefault="000D4EE3" w:rsidP="008F64DA">
      <w:pPr>
        <w:pStyle w:val="Betarp"/>
        <w:spacing w:line="276" w:lineRule="auto"/>
        <w:rPr>
          <w:rFonts w:ascii="Cambria" w:hAnsi="Cambria"/>
          <w:color w:val="136C73"/>
          <w:szCs w:val="24"/>
          <w:lang w:val="en-GB" w:eastAsia="lt-LT"/>
        </w:rPr>
      </w:pPr>
    </w:p>
    <w:p w14:paraId="05C126B6" w14:textId="77777777" w:rsidR="000D4EE3" w:rsidRPr="0043262A" w:rsidRDefault="000D4EE3" w:rsidP="008F64DA">
      <w:pPr>
        <w:pStyle w:val="Betarp"/>
        <w:spacing w:line="276" w:lineRule="auto"/>
        <w:rPr>
          <w:rFonts w:ascii="Cambria" w:hAnsi="Cambria"/>
          <w:color w:val="136C73"/>
          <w:szCs w:val="24"/>
          <w:lang w:val="en-GB" w:eastAsia="lt-LT"/>
        </w:rPr>
      </w:pPr>
    </w:p>
    <w:p w14:paraId="5DF6BD67" w14:textId="77777777" w:rsidR="006501B9" w:rsidRPr="0043262A" w:rsidRDefault="006501B9" w:rsidP="008F64DA">
      <w:pPr>
        <w:pStyle w:val="Betarp"/>
        <w:spacing w:line="276" w:lineRule="auto"/>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8F64DA">
            <w:pPr>
              <w:pStyle w:val="Betarp"/>
              <w:spacing w:line="276" w:lineRule="auto"/>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8F64DA">
            <w:pPr>
              <w:pStyle w:val="Betarp"/>
              <w:spacing w:line="276" w:lineRule="auto"/>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ABBDD0B" w:rsidR="006501B9" w:rsidRDefault="006501B9" w:rsidP="008F64DA">
      <w:pPr>
        <w:spacing w:line="276" w:lineRule="auto"/>
        <w:rPr>
          <w:rFonts w:ascii="Cambria" w:eastAsia="Calibri" w:hAnsi="Cambria"/>
          <w:color w:val="136C73"/>
          <w:sz w:val="28"/>
          <w:szCs w:val="28"/>
          <w:lang w:val="en-GB" w:eastAsia="lt-LT"/>
        </w:rPr>
      </w:pPr>
    </w:p>
    <w:p w14:paraId="141BF6B2" w14:textId="0FD3BC58" w:rsidR="00E90C75" w:rsidRDefault="00E90C75" w:rsidP="008F64DA">
      <w:pPr>
        <w:spacing w:line="276" w:lineRule="auto"/>
        <w:rPr>
          <w:rFonts w:ascii="Cambria" w:eastAsia="Calibri" w:hAnsi="Cambria"/>
          <w:color w:val="136C73"/>
          <w:sz w:val="28"/>
          <w:szCs w:val="28"/>
          <w:lang w:val="en-GB" w:eastAsia="lt-LT"/>
        </w:rPr>
      </w:pPr>
    </w:p>
    <w:p w14:paraId="1AE72695" w14:textId="30BFD60E" w:rsidR="00E90C75" w:rsidRDefault="00E90C75" w:rsidP="008F64DA">
      <w:pPr>
        <w:spacing w:line="276" w:lineRule="auto"/>
        <w:rPr>
          <w:rFonts w:ascii="Cambria" w:eastAsia="Calibri" w:hAnsi="Cambria"/>
          <w:color w:val="136C73"/>
          <w:sz w:val="28"/>
          <w:szCs w:val="28"/>
          <w:lang w:val="en-GB" w:eastAsia="lt-LT"/>
        </w:rPr>
      </w:pPr>
    </w:p>
    <w:p w14:paraId="4A83AC34" w14:textId="77777777" w:rsidR="00E90C75" w:rsidRPr="0043262A" w:rsidRDefault="00E90C75" w:rsidP="008F64DA">
      <w:pPr>
        <w:spacing w:line="276" w:lineRule="auto"/>
        <w:rPr>
          <w:rFonts w:ascii="Cambria" w:eastAsia="Calibri" w:hAnsi="Cambria"/>
          <w:color w:val="136C73"/>
          <w:sz w:val="28"/>
          <w:szCs w:val="28"/>
          <w:lang w:val="en-GB" w:eastAsia="lt-LT"/>
        </w:rPr>
      </w:pPr>
    </w:p>
    <w:p w14:paraId="6062D172" w14:textId="77777777" w:rsidR="006501B9" w:rsidRPr="0043262A" w:rsidRDefault="006501B9" w:rsidP="008F64DA">
      <w:pPr>
        <w:pStyle w:val="Porat"/>
        <w:spacing w:line="276" w:lineRule="auto"/>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8F64DA">
      <w:pPr>
        <w:pStyle w:val="Porat"/>
        <w:spacing w:line="276" w:lineRule="auto"/>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7A729754" w14:textId="55F08D6A" w:rsidR="0060015D" w:rsidRPr="002026A9" w:rsidRDefault="00BB1255" w:rsidP="000B1358">
      <w:pPr>
        <w:spacing w:line="276" w:lineRule="auto"/>
        <w:jc w:val="center"/>
        <w:rPr>
          <w:rFonts w:asciiTheme="majorHAnsi" w:hAnsiTheme="majorHAnsi"/>
          <w:b/>
          <w:color w:val="136C73"/>
          <w:sz w:val="28"/>
          <w:lang w:val="en-GB"/>
        </w:rPr>
      </w:pPr>
      <w:r w:rsidRPr="0043262A">
        <w:rPr>
          <w:rFonts w:ascii="Cambria" w:eastAsia="Calibri" w:hAnsi="Cambria"/>
          <w:color w:val="136C73"/>
          <w:lang w:val="en-GB" w:eastAsia="lt-LT"/>
        </w:rPr>
        <w:br w:type="page"/>
      </w:r>
      <w:r w:rsidR="0060015D" w:rsidRPr="002026A9">
        <w:rPr>
          <w:rFonts w:asciiTheme="majorHAnsi" w:hAnsiTheme="majorHAnsi"/>
          <w:b/>
          <w:color w:val="136C73"/>
          <w:sz w:val="28"/>
          <w:lang w:val="en-GB"/>
        </w:rPr>
        <w:lastRenderedPageBreak/>
        <w:t>Study Field Data</w:t>
      </w:r>
    </w:p>
    <w:p w14:paraId="79CCF981" w14:textId="77777777" w:rsidR="000B1358" w:rsidRPr="002026A9" w:rsidRDefault="000B1358" w:rsidP="000B1358">
      <w:pPr>
        <w:jc w:val="center"/>
        <w:rPr>
          <w:rFonts w:asciiTheme="majorHAnsi" w:eastAsia="Cambria" w:hAnsiTheme="majorHAnsi" w:cs="Cambria"/>
          <w:b/>
          <w:color w:val="136C73"/>
          <w:lang w:val="en-GB"/>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2947"/>
        <w:gridCol w:w="2947"/>
      </w:tblGrid>
      <w:tr w:rsidR="002026A9" w:rsidRPr="002026A9" w14:paraId="22A5E325" w14:textId="77777777" w:rsidTr="00E43705">
        <w:trPr>
          <w:trHeight w:val="510"/>
        </w:trPr>
        <w:tc>
          <w:tcPr>
            <w:tcW w:w="3851" w:type="dxa"/>
            <w:shd w:val="clear" w:color="auto" w:fill="EEECE1"/>
            <w:vAlign w:val="center"/>
          </w:tcPr>
          <w:p w14:paraId="478CB396"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Title of the study programme</w:t>
            </w:r>
          </w:p>
        </w:tc>
        <w:tc>
          <w:tcPr>
            <w:tcW w:w="2947" w:type="dxa"/>
            <w:shd w:val="clear" w:color="auto" w:fill="FFFFFF"/>
            <w:vAlign w:val="center"/>
          </w:tcPr>
          <w:p w14:paraId="7BD266B8" w14:textId="1DFF9F34" w:rsidR="002026A9" w:rsidRPr="002026A9" w:rsidRDefault="002026A9" w:rsidP="002026A9">
            <w:pPr>
              <w:rPr>
                <w:rFonts w:asciiTheme="majorHAnsi" w:eastAsia="Cambria" w:hAnsiTheme="majorHAnsi" w:cs="Cambria"/>
                <w:b/>
                <w:i/>
                <w:lang w:val="en-GB"/>
              </w:rPr>
            </w:pPr>
            <w:r w:rsidRPr="002026A9">
              <w:rPr>
                <w:rFonts w:ascii="Cambria" w:eastAsia="Cambria" w:hAnsi="Cambria" w:cs="Cambria"/>
                <w:b/>
                <w:i/>
                <w:lang w:val="en-GB"/>
              </w:rPr>
              <w:t>Office Management</w:t>
            </w:r>
          </w:p>
        </w:tc>
        <w:tc>
          <w:tcPr>
            <w:tcW w:w="2947" w:type="dxa"/>
            <w:shd w:val="clear" w:color="auto" w:fill="FFFFFF"/>
            <w:vAlign w:val="center"/>
          </w:tcPr>
          <w:p w14:paraId="64F29253" w14:textId="77777777" w:rsidR="002026A9" w:rsidRPr="002026A9" w:rsidRDefault="002026A9" w:rsidP="002026A9">
            <w:pPr>
              <w:rPr>
                <w:rFonts w:ascii="Cambria" w:eastAsia="Cambria" w:hAnsi="Cambria" w:cs="Cambria"/>
                <w:b/>
                <w:i/>
                <w:lang w:val="en-GB"/>
              </w:rPr>
            </w:pPr>
            <w:r w:rsidRPr="002026A9">
              <w:rPr>
                <w:rFonts w:ascii="Cambria" w:eastAsia="Cambria" w:hAnsi="Cambria" w:cs="Cambria"/>
                <w:b/>
                <w:i/>
                <w:lang w:val="en-GB"/>
              </w:rPr>
              <w:t>Production and Logistics</w:t>
            </w:r>
          </w:p>
          <w:p w14:paraId="51BB89E4" w14:textId="48E46C1E" w:rsidR="002026A9" w:rsidRPr="002026A9" w:rsidRDefault="002026A9" w:rsidP="002026A9">
            <w:pPr>
              <w:rPr>
                <w:rFonts w:asciiTheme="majorHAnsi" w:eastAsia="Cambria" w:hAnsiTheme="majorHAnsi" w:cs="Cambria"/>
                <w:b/>
                <w:i/>
                <w:lang w:val="en-GB"/>
              </w:rPr>
            </w:pPr>
            <w:r w:rsidRPr="002026A9">
              <w:rPr>
                <w:rFonts w:ascii="Cambria" w:eastAsia="Cambria" w:hAnsi="Cambria" w:cs="Cambria"/>
                <w:b/>
                <w:i/>
                <w:lang w:val="en-GB"/>
              </w:rPr>
              <w:t>Management</w:t>
            </w:r>
          </w:p>
        </w:tc>
      </w:tr>
      <w:tr w:rsidR="002026A9" w:rsidRPr="002026A9" w14:paraId="7E4FC9C2" w14:textId="77777777" w:rsidTr="00E43705">
        <w:trPr>
          <w:trHeight w:val="510"/>
        </w:trPr>
        <w:tc>
          <w:tcPr>
            <w:tcW w:w="3851" w:type="dxa"/>
            <w:shd w:val="clear" w:color="auto" w:fill="EEECE1"/>
            <w:vAlign w:val="center"/>
          </w:tcPr>
          <w:p w14:paraId="5107CAD2"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State code</w:t>
            </w:r>
          </w:p>
        </w:tc>
        <w:tc>
          <w:tcPr>
            <w:tcW w:w="2947" w:type="dxa"/>
            <w:vAlign w:val="center"/>
          </w:tcPr>
          <w:p w14:paraId="32FCC5F6" w14:textId="78303618" w:rsidR="002026A9" w:rsidRPr="002026A9" w:rsidRDefault="002026A9" w:rsidP="002026A9">
            <w:pPr>
              <w:rPr>
                <w:rFonts w:asciiTheme="majorHAnsi" w:eastAsia="Cambria" w:hAnsiTheme="majorHAnsi" w:cs="Cambria"/>
                <w:color w:val="000000"/>
                <w:lang w:val="en-GB"/>
              </w:rPr>
            </w:pPr>
            <w:r w:rsidRPr="002026A9">
              <w:rPr>
                <w:rFonts w:ascii="Cambria" w:eastAsia="Cambria" w:hAnsi="Cambria" w:cs="Cambria"/>
                <w:lang w:val="en-GB"/>
              </w:rPr>
              <w:t>6531LX081</w:t>
            </w:r>
          </w:p>
        </w:tc>
        <w:tc>
          <w:tcPr>
            <w:tcW w:w="2947" w:type="dxa"/>
            <w:vAlign w:val="center"/>
          </w:tcPr>
          <w:p w14:paraId="264348E2" w14:textId="2599D7D4" w:rsidR="002026A9" w:rsidRPr="002026A9" w:rsidRDefault="002026A9" w:rsidP="002026A9">
            <w:pPr>
              <w:rPr>
                <w:rFonts w:asciiTheme="majorHAnsi" w:eastAsia="Cambria" w:hAnsiTheme="majorHAnsi" w:cs="Cambria"/>
                <w:color w:val="000000"/>
                <w:lang w:val="en-GB"/>
              </w:rPr>
            </w:pPr>
            <w:r w:rsidRPr="002026A9">
              <w:rPr>
                <w:rFonts w:ascii="Cambria" w:eastAsia="Cambria" w:hAnsi="Cambria" w:cs="Cambria"/>
                <w:lang w:val="en-GB"/>
              </w:rPr>
              <w:t>6531LX095</w:t>
            </w:r>
          </w:p>
        </w:tc>
      </w:tr>
      <w:tr w:rsidR="002026A9" w:rsidRPr="002026A9" w14:paraId="090C37CE" w14:textId="77777777" w:rsidTr="00E43705">
        <w:trPr>
          <w:trHeight w:val="510"/>
        </w:trPr>
        <w:tc>
          <w:tcPr>
            <w:tcW w:w="3851" w:type="dxa"/>
            <w:shd w:val="clear" w:color="auto" w:fill="EEECE1"/>
            <w:vAlign w:val="center"/>
          </w:tcPr>
          <w:p w14:paraId="55FC1881"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Type of studies</w:t>
            </w:r>
          </w:p>
        </w:tc>
        <w:tc>
          <w:tcPr>
            <w:tcW w:w="2947" w:type="dxa"/>
            <w:vAlign w:val="center"/>
          </w:tcPr>
          <w:p w14:paraId="1B02E7C1" w14:textId="77777777" w:rsidR="002026A9" w:rsidRPr="002026A9" w:rsidRDefault="002026A9" w:rsidP="002026A9">
            <w:pPr>
              <w:rPr>
                <w:rFonts w:ascii="Cambria" w:eastAsia="Cambria" w:hAnsi="Cambria" w:cs="Cambria"/>
                <w:lang w:val="en-GB"/>
              </w:rPr>
            </w:pPr>
            <w:r w:rsidRPr="002026A9">
              <w:rPr>
                <w:rFonts w:ascii="Cambria" w:eastAsia="Cambria" w:hAnsi="Cambria" w:cs="Cambria"/>
                <w:lang w:val="en-GB"/>
              </w:rPr>
              <w:t>Professional bachelor</w:t>
            </w:r>
          </w:p>
          <w:p w14:paraId="441CE708" w14:textId="598185F1"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college studies</w:t>
            </w:r>
          </w:p>
        </w:tc>
        <w:tc>
          <w:tcPr>
            <w:tcW w:w="2947" w:type="dxa"/>
            <w:vAlign w:val="center"/>
          </w:tcPr>
          <w:p w14:paraId="64773336" w14:textId="77777777" w:rsidR="002026A9" w:rsidRPr="002026A9" w:rsidRDefault="002026A9" w:rsidP="002026A9">
            <w:pPr>
              <w:rPr>
                <w:rFonts w:ascii="Cambria" w:eastAsia="Cambria" w:hAnsi="Cambria" w:cs="Cambria"/>
                <w:lang w:val="en-GB"/>
              </w:rPr>
            </w:pPr>
            <w:r w:rsidRPr="002026A9">
              <w:rPr>
                <w:rFonts w:ascii="Cambria" w:eastAsia="Cambria" w:hAnsi="Cambria" w:cs="Cambria"/>
                <w:lang w:val="en-GB"/>
              </w:rPr>
              <w:t>Professional bachelor</w:t>
            </w:r>
          </w:p>
          <w:p w14:paraId="2CEC8738" w14:textId="4BF47BFA"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college studies</w:t>
            </w:r>
          </w:p>
        </w:tc>
      </w:tr>
      <w:tr w:rsidR="002026A9" w:rsidRPr="002026A9" w14:paraId="186AC977" w14:textId="77777777" w:rsidTr="00E43705">
        <w:trPr>
          <w:trHeight w:val="510"/>
        </w:trPr>
        <w:tc>
          <w:tcPr>
            <w:tcW w:w="3851" w:type="dxa"/>
            <w:shd w:val="clear" w:color="auto" w:fill="EEECE1"/>
            <w:vAlign w:val="center"/>
          </w:tcPr>
          <w:p w14:paraId="34C57FC0"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Cycle of studies</w:t>
            </w:r>
          </w:p>
        </w:tc>
        <w:tc>
          <w:tcPr>
            <w:tcW w:w="2947" w:type="dxa"/>
            <w:vAlign w:val="center"/>
          </w:tcPr>
          <w:p w14:paraId="17C2BF25" w14:textId="5CEDF299"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First</w:t>
            </w:r>
          </w:p>
        </w:tc>
        <w:tc>
          <w:tcPr>
            <w:tcW w:w="2947" w:type="dxa"/>
            <w:vAlign w:val="center"/>
          </w:tcPr>
          <w:p w14:paraId="252BB27A" w14:textId="7809438F"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First</w:t>
            </w:r>
          </w:p>
        </w:tc>
      </w:tr>
      <w:tr w:rsidR="002026A9" w:rsidRPr="002026A9" w14:paraId="4287228F" w14:textId="77777777" w:rsidTr="00E43705">
        <w:trPr>
          <w:trHeight w:val="510"/>
        </w:trPr>
        <w:tc>
          <w:tcPr>
            <w:tcW w:w="3851" w:type="dxa"/>
            <w:shd w:val="clear" w:color="auto" w:fill="EEECE1"/>
            <w:vAlign w:val="center"/>
          </w:tcPr>
          <w:p w14:paraId="53BF9739"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Mode of study and duration</w:t>
            </w:r>
          </w:p>
          <w:p w14:paraId="78193A00"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(in years)</w:t>
            </w:r>
          </w:p>
        </w:tc>
        <w:tc>
          <w:tcPr>
            <w:tcW w:w="2947" w:type="dxa"/>
            <w:vAlign w:val="center"/>
          </w:tcPr>
          <w:p w14:paraId="222A2302" w14:textId="77777777" w:rsidR="002026A9" w:rsidRPr="002026A9" w:rsidRDefault="002026A9" w:rsidP="002026A9">
            <w:pPr>
              <w:rPr>
                <w:rFonts w:ascii="Cambria" w:eastAsia="Cambria" w:hAnsi="Cambria" w:cs="Cambria"/>
                <w:lang w:val="en-GB"/>
              </w:rPr>
            </w:pPr>
            <w:r w:rsidRPr="002026A9">
              <w:rPr>
                <w:rFonts w:ascii="Cambria" w:eastAsia="Cambria" w:hAnsi="Cambria" w:cs="Cambria"/>
                <w:lang w:val="en-GB"/>
              </w:rPr>
              <w:t>Full-time (3 years)</w:t>
            </w:r>
          </w:p>
          <w:p w14:paraId="0AAB31E4" w14:textId="458DC943"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Part-time (4 years)</w:t>
            </w:r>
          </w:p>
        </w:tc>
        <w:tc>
          <w:tcPr>
            <w:tcW w:w="2947" w:type="dxa"/>
            <w:vAlign w:val="center"/>
          </w:tcPr>
          <w:p w14:paraId="1670785B" w14:textId="77777777" w:rsidR="002026A9" w:rsidRPr="002026A9" w:rsidRDefault="002026A9" w:rsidP="002026A9">
            <w:pPr>
              <w:rPr>
                <w:rFonts w:ascii="Cambria" w:eastAsia="Cambria" w:hAnsi="Cambria" w:cs="Cambria"/>
                <w:lang w:val="en-GB"/>
              </w:rPr>
            </w:pPr>
            <w:r w:rsidRPr="002026A9">
              <w:rPr>
                <w:rFonts w:ascii="Cambria" w:eastAsia="Cambria" w:hAnsi="Cambria" w:cs="Cambria"/>
                <w:lang w:val="en-GB"/>
              </w:rPr>
              <w:t>Full-time (3 years)</w:t>
            </w:r>
          </w:p>
          <w:p w14:paraId="64A5AA67" w14:textId="73C5F0A1"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Part-time (4 years)</w:t>
            </w:r>
          </w:p>
        </w:tc>
      </w:tr>
      <w:tr w:rsidR="002026A9" w:rsidRPr="002026A9" w14:paraId="0CC1B16B" w14:textId="77777777" w:rsidTr="00E43705">
        <w:trPr>
          <w:trHeight w:val="510"/>
        </w:trPr>
        <w:tc>
          <w:tcPr>
            <w:tcW w:w="3851" w:type="dxa"/>
            <w:shd w:val="clear" w:color="auto" w:fill="EEECE1"/>
            <w:vAlign w:val="center"/>
          </w:tcPr>
          <w:p w14:paraId="5545AC6D"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Credit volume</w:t>
            </w:r>
          </w:p>
        </w:tc>
        <w:tc>
          <w:tcPr>
            <w:tcW w:w="2947" w:type="dxa"/>
            <w:vAlign w:val="center"/>
          </w:tcPr>
          <w:p w14:paraId="6CF4C1B0" w14:textId="12429088"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180</w:t>
            </w:r>
          </w:p>
        </w:tc>
        <w:tc>
          <w:tcPr>
            <w:tcW w:w="2947" w:type="dxa"/>
            <w:vAlign w:val="center"/>
          </w:tcPr>
          <w:p w14:paraId="04B772F4" w14:textId="4BA98DA9"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180</w:t>
            </w:r>
          </w:p>
        </w:tc>
      </w:tr>
      <w:tr w:rsidR="002026A9" w:rsidRPr="002026A9" w14:paraId="3DE96B4C" w14:textId="77777777" w:rsidTr="00E43705">
        <w:trPr>
          <w:trHeight w:val="510"/>
        </w:trPr>
        <w:tc>
          <w:tcPr>
            <w:tcW w:w="3851" w:type="dxa"/>
            <w:shd w:val="clear" w:color="auto" w:fill="EEECE1"/>
            <w:vAlign w:val="center"/>
          </w:tcPr>
          <w:p w14:paraId="7DC000E0"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Qualification degree and (or) professional qualification</w:t>
            </w:r>
          </w:p>
        </w:tc>
        <w:tc>
          <w:tcPr>
            <w:tcW w:w="2947" w:type="dxa"/>
            <w:vAlign w:val="center"/>
          </w:tcPr>
          <w:p w14:paraId="49EE9B9E" w14:textId="68AA56AF"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Professional Bachelor of Business Management</w:t>
            </w:r>
          </w:p>
        </w:tc>
        <w:tc>
          <w:tcPr>
            <w:tcW w:w="2947" w:type="dxa"/>
            <w:vAlign w:val="center"/>
          </w:tcPr>
          <w:p w14:paraId="61D4DB2E" w14:textId="63BD033B"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Professional Bachelor of Business Management</w:t>
            </w:r>
          </w:p>
        </w:tc>
      </w:tr>
      <w:tr w:rsidR="002026A9" w:rsidRPr="002026A9" w14:paraId="018E574E" w14:textId="77777777" w:rsidTr="00E43705">
        <w:trPr>
          <w:trHeight w:val="510"/>
        </w:trPr>
        <w:tc>
          <w:tcPr>
            <w:tcW w:w="3851" w:type="dxa"/>
            <w:shd w:val="clear" w:color="auto" w:fill="EEECE1"/>
            <w:vAlign w:val="center"/>
          </w:tcPr>
          <w:p w14:paraId="3EC6188D"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Language of instruction</w:t>
            </w:r>
          </w:p>
        </w:tc>
        <w:tc>
          <w:tcPr>
            <w:tcW w:w="2947" w:type="dxa"/>
            <w:vAlign w:val="center"/>
          </w:tcPr>
          <w:p w14:paraId="50A8C02C" w14:textId="44EDB3CC"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Lithuanian</w:t>
            </w:r>
          </w:p>
        </w:tc>
        <w:tc>
          <w:tcPr>
            <w:tcW w:w="2947" w:type="dxa"/>
            <w:vAlign w:val="center"/>
          </w:tcPr>
          <w:p w14:paraId="74E147D9" w14:textId="12B05C53"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Lithuanian</w:t>
            </w:r>
          </w:p>
        </w:tc>
      </w:tr>
      <w:tr w:rsidR="002026A9" w:rsidRPr="002026A9" w14:paraId="0A00AC0E" w14:textId="77777777" w:rsidTr="00E43705">
        <w:trPr>
          <w:trHeight w:val="510"/>
        </w:trPr>
        <w:tc>
          <w:tcPr>
            <w:tcW w:w="3851" w:type="dxa"/>
            <w:shd w:val="clear" w:color="auto" w:fill="EEECE1"/>
            <w:vAlign w:val="center"/>
          </w:tcPr>
          <w:p w14:paraId="4CB80E65"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Minimum education required</w:t>
            </w:r>
          </w:p>
        </w:tc>
        <w:tc>
          <w:tcPr>
            <w:tcW w:w="2947" w:type="dxa"/>
            <w:vAlign w:val="center"/>
          </w:tcPr>
          <w:p w14:paraId="4C0D2856" w14:textId="3629FF24"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Secondary education</w:t>
            </w:r>
          </w:p>
        </w:tc>
        <w:tc>
          <w:tcPr>
            <w:tcW w:w="2947" w:type="dxa"/>
            <w:vAlign w:val="center"/>
          </w:tcPr>
          <w:p w14:paraId="2FD142E9" w14:textId="6BD6ED5B"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Secondary education</w:t>
            </w:r>
          </w:p>
        </w:tc>
      </w:tr>
      <w:tr w:rsidR="002026A9" w:rsidRPr="002026A9" w14:paraId="0DF312D2" w14:textId="77777777" w:rsidTr="00E43705">
        <w:trPr>
          <w:trHeight w:val="510"/>
        </w:trPr>
        <w:tc>
          <w:tcPr>
            <w:tcW w:w="3851" w:type="dxa"/>
            <w:shd w:val="clear" w:color="auto" w:fill="EEECE1"/>
            <w:vAlign w:val="center"/>
          </w:tcPr>
          <w:p w14:paraId="56D54C88" w14:textId="77777777" w:rsidR="002026A9" w:rsidRPr="002026A9" w:rsidRDefault="002026A9" w:rsidP="002026A9">
            <w:pPr>
              <w:rPr>
                <w:rFonts w:asciiTheme="majorHAnsi" w:eastAsia="Cambria" w:hAnsiTheme="majorHAnsi" w:cs="Cambria"/>
                <w:color w:val="136C73"/>
                <w:lang w:val="en-GB"/>
              </w:rPr>
            </w:pPr>
            <w:r w:rsidRPr="002026A9">
              <w:rPr>
                <w:rFonts w:asciiTheme="majorHAnsi" w:eastAsia="Cambria" w:hAnsiTheme="majorHAnsi" w:cs="Cambria"/>
                <w:color w:val="136C73"/>
                <w:lang w:val="en-GB"/>
              </w:rPr>
              <w:t>Registration date of the study programme</w:t>
            </w:r>
          </w:p>
        </w:tc>
        <w:tc>
          <w:tcPr>
            <w:tcW w:w="2947" w:type="dxa"/>
            <w:vAlign w:val="center"/>
          </w:tcPr>
          <w:p w14:paraId="4FE5E721" w14:textId="11A3FFA1" w:rsidR="002026A9" w:rsidRPr="002026A9" w:rsidRDefault="002026A9" w:rsidP="002026A9">
            <w:pPr>
              <w:rPr>
                <w:rFonts w:asciiTheme="majorHAnsi" w:eastAsia="Cambria" w:hAnsiTheme="majorHAnsi" w:cs="Cambria"/>
                <w:color w:val="000000"/>
                <w:lang w:val="en-GB"/>
              </w:rPr>
            </w:pPr>
            <w:r w:rsidRPr="002026A9">
              <w:rPr>
                <w:rFonts w:ascii="Cambria" w:eastAsia="Cambria" w:hAnsi="Cambria" w:cs="Cambria"/>
                <w:lang w:val="en-GB"/>
              </w:rPr>
              <w:t>30 August 2002</w:t>
            </w:r>
          </w:p>
        </w:tc>
        <w:tc>
          <w:tcPr>
            <w:tcW w:w="2947" w:type="dxa"/>
            <w:vAlign w:val="center"/>
          </w:tcPr>
          <w:p w14:paraId="6684C128" w14:textId="1B4FA5E6" w:rsidR="002026A9" w:rsidRPr="002026A9" w:rsidRDefault="002026A9" w:rsidP="002026A9">
            <w:pPr>
              <w:rPr>
                <w:rFonts w:asciiTheme="majorHAnsi" w:eastAsia="Cambria" w:hAnsiTheme="majorHAnsi" w:cs="Cambria"/>
                <w:lang w:val="en-GB"/>
              </w:rPr>
            </w:pPr>
            <w:r w:rsidRPr="002026A9">
              <w:rPr>
                <w:rFonts w:ascii="Cambria" w:eastAsia="Cambria" w:hAnsi="Cambria" w:cs="Cambria"/>
                <w:lang w:val="en-GB"/>
              </w:rPr>
              <w:t>28 July 2017</w:t>
            </w:r>
          </w:p>
        </w:tc>
      </w:tr>
    </w:tbl>
    <w:p w14:paraId="4125BC5C" w14:textId="77777777" w:rsidR="000B1358" w:rsidRPr="005B13E0" w:rsidRDefault="000B1358" w:rsidP="000B1358">
      <w:pPr>
        <w:rPr>
          <w:rFonts w:asciiTheme="majorHAnsi" w:eastAsia="Cambria" w:hAnsiTheme="majorHAnsi" w:cs="Cambria"/>
          <w:b/>
          <w:color w:val="136C73"/>
          <w:lang w:val="en-GB"/>
        </w:rPr>
      </w:pPr>
    </w:p>
    <w:p w14:paraId="276B43EA" w14:textId="77777777" w:rsidR="00F024F0" w:rsidRPr="000B1358" w:rsidRDefault="00F024F0" w:rsidP="008F64DA">
      <w:pPr>
        <w:spacing w:line="276" w:lineRule="auto"/>
        <w:jc w:val="center"/>
        <w:rPr>
          <w:rFonts w:asciiTheme="majorHAnsi" w:hAnsiTheme="majorHAnsi"/>
          <w:b/>
          <w:color w:val="136C73"/>
          <w:lang w:val="en-GB"/>
        </w:rPr>
      </w:pPr>
    </w:p>
    <w:p w14:paraId="468D0B48" w14:textId="0D0C3C9C" w:rsidR="0042467A" w:rsidRPr="000B1358" w:rsidRDefault="006501B9" w:rsidP="008F64DA">
      <w:pPr>
        <w:spacing w:line="276" w:lineRule="auto"/>
        <w:rPr>
          <w:rFonts w:asciiTheme="majorHAnsi" w:eastAsia="Calibri" w:hAnsiTheme="majorHAnsi"/>
          <w:lang w:val="en-GB" w:eastAsia="lt-LT"/>
        </w:rPr>
      </w:pPr>
      <w:r w:rsidRPr="000B1358">
        <w:rPr>
          <w:rFonts w:asciiTheme="majorHAnsi" w:eastAsia="Calibri" w:hAnsiTheme="majorHAnsi"/>
          <w:lang w:val="en-GB" w:eastAsia="lt-LT"/>
        </w:rPr>
        <w:br w:type="page"/>
      </w:r>
    </w:p>
    <w:p w14:paraId="0D0CE2C1" w14:textId="4263C6B4" w:rsidR="00BB1255" w:rsidRPr="00F024F0" w:rsidRDefault="006501B9" w:rsidP="008F64DA">
      <w:pPr>
        <w:keepNext/>
        <w:keepLines/>
        <w:tabs>
          <w:tab w:val="left" w:pos="680"/>
        </w:tabs>
        <w:spacing w:line="276" w:lineRule="auto"/>
        <w:ind w:left="360"/>
        <w:jc w:val="center"/>
        <w:outlineLvl w:val="1"/>
        <w:rPr>
          <w:rFonts w:ascii="Cambria" w:hAnsi="Cambria"/>
          <w:b/>
          <w:bCs/>
          <w:caps/>
          <w:color w:val="136C73"/>
          <w:sz w:val="28"/>
          <w:szCs w:val="28"/>
          <w:highlight w:val="lightGray"/>
          <w:lang w:val="en-GB" w:eastAsia="lt-LT"/>
        </w:rPr>
      </w:pPr>
      <w:bookmarkStart w:id="1" w:name="_Toc57129351"/>
      <w:r w:rsidRPr="00F024F0">
        <w:rPr>
          <w:rFonts w:ascii="Cambria" w:hAnsi="Cambria"/>
          <w:b/>
          <w:bCs/>
          <w:caps/>
          <w:color w:val="136C73"/>
          <w:sz w:val="28"/>
          <w:szCs w:val="28"/>
          <w:lang w:val="en-GB" w:eastAsia="lt-LT"/>
        </w:rPr>
        <w:lastRenderedPageBreak/>
        <w:t>II. GENERAL ASSESSMENT</w:t>
      </w:r>
      <w:bookmarkEnd w:id="1"/>
    </w:p>
    <w:p w14:paraId="62F1224C" w14:textId="77777777" w:rsidR="00BB1255" w:rsidRPr="0043262A" w:rsidRDefault="00BB1255" w:rsidP="008F64DA">
      <w:pPr>
        <w:spacing w:line="276" w:lineRule="auto"/>
        <w:rPr>
          <w:rFonts w:ascii="Cambria" w:eastAsia="Calibri" w:hAnsi="Cambria"/>
          <w:i/>
          <w:highlight w:val="yellow"/>
          <w:lang w:val="en-GB" w:eastAsia="lt-LT"/>
        </w:rPr>
      </w:pPr>
    </w:p>
    <w:p w14:paraId="4D98C460" w14:textId="7EFE7709" w:rsidR="000B1358" w:rsidRPr="000B1358" w:rsidRDefault="000B1358" w:rsidP="000B1358">
      <w:pPr>
        <w:pBdr>
          <w:top w:val="nil"/>
          <w:left w:val="nil"/>
          <w:bottom w:val="nil"/>
          <w:right w:val="nil"/>
          <w:between w:val="nil"/>
        </w:pBdr>
        <w:jc w:val="both"/>
        <w:rPr>
          <w:rFonts w:ascii="Cambria" w:eastAsia="Cambria" w:hAnsi="Cambria" w:cs="Cambria"/>
          <w:color w:val="000000"/>
          <w:lang w:val="en-GB"/>
        </w:rPr>
      </w:pPr>
      <w:r w:rsidRPr="000B1358">
        <w:rPr>
          <w:rFonts w:ascii="Cambria" w:eastAsia="Cambria" w:hAnsi="Cambria" w:cs="Cambria"/>
          <w:lang w:val="en-GB"/>
        </w:rPr>
        <w:t>The</w:t>
      </w:r>
      <w:r w:rsidRPr="000B1358">
        <w:rPr>
          <w:rFonts w:ascii="Cambria" w:eastAsia="Cambria" w:hAnsi="Cambria" w:cs="Cambria"/>
          <w:b/>
          <w:lang w:val="en-GB"/>
        </w:rPr>
        <w:t xml:space="preserve"> </w:t>
      </w:r>
      <w:r w:rsidRPr="000B1358">
        <w:rPr>
          <w:rFonts w:ascii="Cambria" w:eastAsia="Cambria" w:hAnsi="Cambria" w:cs="Cambria"/>
          <w:b/>
          <w:i/>
          <w:lang w:val="en-GB"/>
        </w:rPr>
        <w:t>first cycle</w:t>
      </w:r>
      <w:r w:rsidRPr="000B1358">
        <w:rPr>
          <w:rFonts w:ascii="Cambria" w:eastAsia="Cambria" w:hAnsi="Cambria" w:cs="Cambria"/>
          <w:i/>
          <w:lang w:val="en-GB"/>
        </w:rPr>
        <w:t xml:space="preserve"> </w:t>
      </w:r>
      <w:r w:rsidRPr="000B1358">
        <w:rPr>
          <w:rFonts w:ascii="Cambria" w:eastAsia="Cambria" w:hAnsi="Cambria" w:cs="Cambria"/>
          <w:lang w:val="en-GB"/>
        </w:rPr>
        <w:t>of the</w:t>
      </w:r>
      <w:r w:rsidRPr="000B1358">
        <w:rPr>
          <w:rFonts w:ascii="Cambria" w:eastAsia="Cambria" w:hAnsi="Cambria" w:cs="Cambria"/>
          <w:i/>
          <w:lang w:val="en-GB"/>
        </w:rPr>
        <w:t xml:space="preserve"> </w:t>
      </w:r>
      <w:r w:rsidRPr="000B1358">
        <w:rPr>
          <w:rFonts w:ascii="Cambria" w:eastAsia="Cambria" w:hAnsi="Cambria" w:cs="Cambria"/>
          <w:b/>
          <w:i/>
          <w:lang w:val="en-GB"/>
        </w:rPr>
        <w:t>Management</w:t>
      </w:r>
      <w:r w:rsidRPr="000B1358">
        <w:rPr>
          <w:rFonts w:ascii="Cambria" w:eastAsia="Cambria" w:hAnsi="Cambria" w:cs="Cambria"/>
          <w:b/>
          <w:color w:val="000000"/>
          <w:lang w:val="en-GB"/>
        </w:rPr>
        <w:t xml:space="preserve"> </w:t>
      </w:r>
      <w:r w:rsidRPr="000B1358">
        <w:rPr>
          <w:rFonts w:ascii="Cambria" w:eastAsia="Cambria" w:hAnsi="Cambria" w:cs="Cambria"/>
          <w:color w:val="000000"/>
          <w:lang w:val="en-GB"/>
        </w:rPr>
        <w:t>study field</w:t>
      </w:r>
      <w:r w:rsidRPr="000B1358">
        <w:rPr>
          <w:rFonts w:ascii="Cambria" w:eastAsia="Cambria" w:hAnsi="Cambria" w:cs="Cambria"/>
          <w:lang w:val="en-GB"/>
        </w:rPr>
        <w:t xml:space="preserve"> </w:t>
      </w:r>
      <w:r w:rsidRPr="000B1358">
        <w:rPr>
          <w:rFonts w:ascii="Cambria" w:eastAsia="Cambria" w:hAnsi="Cambria" w:cs="Cambria"/>
          <w:color w:val="000000"/>
          <w:lang w:val="en-GB"/>
        </w:rPr>
        <w:t xml:space="preserve">at </w:t>
      </w:r>
      <w:r w:rsidR="002026A9">
        <w:rPr>
          <w:rFonts w:ascii="Cambria" w:eastAsia="Cambria" w:hAnsi="Cambria" w:cs="Cambria"/>
          <w:lang w:val="en-GB"/>
        </w:rPr>
        <w:t>Šiaulių valstybinė</w:t>
      </w:r>
      <w:r w:rsidRPr="000B1358">
        <w:rPr>
          <w:rFonts w:ascii="Cambria" w:eastAsia="Cambria" w:hAnsi="Cambria" w:cs="Cambria"/>
          <w:lang w:val="en-GB"/>
        </w:rPr>
        <w:t xml:space="preserve"> kolegija is</w:t>
      </w:r>
      <w:r w:rsidRPr="000B1358">
        <w:rPr>
          <w:rFonts w:ascii="Cambria" w:eastAsia="Cambria" w:hAnsi="Cambria" w:cs="Cambria"/>
          <w:color w:val="000000"/>
          <w:lang w:val="en-GB"/>
        </w:rPr>
        <w:t xml:space="preserve"> given a</w:t>
      </w:r>
      <w:r w:rsidRPr="000B1358">
        <w:rPr>
          <w:rFonts w:ascii="Cambria" w:eastAsia="Cambria" w:hAnsi="Cambria" w:cs="Cambria"/>
          <w:b/>
          <w:color w:val="000000"/>
          <w:lang w:val="en-GB"/>
        </w:rPr>
        <w:t xml:space="preserve"> positive </w:t>
      </w:r>
      <w:r w:rsidRPr="000B1358">
        <w:rPr>
          <w:rFonts w:ascii="Cambria" w:eastAsia="Cambria" w:hAnsi="Cambria" w:cs="Cambria"/>
          <w:color w:val="000000"/>
          <w:lang w:val="en-GB"/>
        </w:rPr>
        <w:t xml:space="preserve">evaluation. </w:t>
      </w:r>
    </w:p>
    <w:p w14:paraId="78B26326" w14:textId="77777777" w:rsidR="000B1358" w:rsidRPr="000B1358" w:rsidRDefault="000B1358" w:rsidP="000B1358">
      <w:pPr>
        <w:pBdr>
          <w:top w:val="nil"/>
          <w:left w:val="nil"/>
          <w:bottom w:val="nil"/>
          <w:right w:val="nil"/>
          <w:between w:val="nil"/>
        </w:pBdr>
        <w:jc w:val="both"/>
        <w:rPr>
          <w:rFonts w:ascii="Cambria" w:eastAsia="Cambria" w:hAnsi="Cambria" w:cs="Cambria"/>
          <w:i/>
          <w:color w:val="000000"/>
          <w:lang w:val="en-GB"/>
        </w:rPr>
      </w:pPr>
    </w:p>
    <w:p w14:paraId="6E92A58F" w14:textId="77777777" w:rsidR="000B1358" w:rsidRPr="000B1358" w:rsidRDefault="000B1358" w:rsidP="000B1358">
      <w:pPr>
        <w:pBdr>
          <w:top w:val="nil"/>
          <w:left w:val="nil"/>
          <w:bottom w:val="nil"/>
          <w:right w:val="nil"/>
          <w:between w:val="nil"/>
        </w:pBdr>
        <w:jc w:val="both"/>
        <w:rPr>
          <w:rFonts w:ascii="Cambria" w:eastAsia="Cambria" w:hAnsi="Cambria" w:cs="Cambria"/>
          <w:color w:val="000000"/>
          <w:lang w:val="en-GB"/>
        </w:rPr>
      </w:pPr>
      <w:r w:rsidRPr="000B1358">
        <w:rPr>
          <w:rFonts w:ascii="Cambria" w:eastAsia="Cambria" w:hAnsi="Cambria" w:cs="Cambria"/>
          <w:i/>
          <w:color w:val="000000"/>
          <w:lang w:val="en-GB"/>
        </w:rPr>
        <w:t>Study field and cycle assessment in points by evaluation areas</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230"/>
        <w:gridCol w:w="1842"/>
      </w:tblGrid>
      <w:tr w:rsidR="000B1358" w:rsidRPr="000B1358" w14:paraId="79FC1E72" w14:textId="77777777" w:rsidTr="000B1358">
        <w:tc>
          <w:tcPr>
            <w:tcW w:w="675" w:type="dxa"/>
            <w:vAlign w:val="center"/>
          </w:tcPr>
          <w:p w14:paraId="0AE6496D" w14:textId="77777777" w:rsidR="000B1358" w:rsidRPr="000B1358" w:rsidRDefault="000B1358" w:rsidP="00E43705">
            <w:pPr>
              <w:jc w:val="center"/>
              <w:rPr>
                <w:rFonts w:ascii="Cambria" w:eastAsia="Cambria" w:hAnsi="Cambria" w:cs="Cambria"/>
                <w:b/>
                <w:color w:val="136C73"/>
                <w:lang w:val="en-GB"/>
              </w:rPr>
            </w:pPr>
            <w:r w:rsidRPr="000B1358">
              <w:rPr>
                <w:rFonts w:ascii="Cambria" w:eastAsia="Cambria" w:hAnsi="Cambria" w:cs="Cambria"/>
                <w:b/>
                <w:color w:val="136C73"/>
                <w:lang w:val="en-GB"/>
              </w:rPr>
              <w:t>No.</w:t>
            </w:r>
          </w:p>
        </w:tc>
        <w:tc>
          <w:tcPr>
            <w:tcW w:w="7230" w:type="dxa"/>
            <w:vAlign w:val="center"/>
          </w:tcPr>
          <w:p w14:paraId="3F9B926B" w14:textId="77777777" w:rsidR="000B1358" w:rsidRPr="000B1358" w:rsidRDefault="000B1358" w:rsidP="00E43705">
            <w:pPr>
              <w:jc w:val="center"/>
              <w:rPr>
                <w:rFonts w:ascii="Cambria" w:eastAsia="Cambria" w:hAnsi="Cambria" w:cs="Cambria"/>
                <w:b/>
                <w:color w:val="136C73"/>
                <w:lang w:val="en-GB"/>
              </w:rPr>
            </w:pPr>
            <w:r w:rsidRPr="000B1358">
              <w:rPr>
                <w:rFonts w:ascii="Cambria" w:eastAsia="Cambria" w:hAnsi="Cambria" w:cs="Cambria"/>
                <w:b/>
                <w:color w:val="136C73"/>
                <w:lang w:val="en-GB"/>
              </w:rPr>
              <w:t>Evaluation Area</w:t>
            </w:r>
          </w:p>
        </w:tc>
        <w:tc>
          <w:tcPr>
            <w:tcW w:w="1842" w:type="dxa"/>
            <w:tcBorders>
              <w:bottom w:val="single" w:sz="4" w:space="0" w:color="auto"/>
            </w:tcBorders>
            <w:vAlign w:val="center"/>
          </w:tcPr>
          <w:p w14:paraId="4E4CF913" w14:textId="77777777" w:rsidR="000B1358" w:rsidRPr="000B1358" w:rsidRDefault="000B1358" w:rsidP="00E43705">
            <w:pPr>
              <w:jc w:val="center"/>
              <w:rPr>
                <w:rFonts w:ascii="Cambria" w:eastAsia="Cambria" w:hAnsi="Cambria" w:cs="Cambria"/>
                <w:b/>
                <w:color w:val="136C73"/>
                <w:lang w:val="en-GB"/>
              </w:rPr>
            </w:pPr>
            <w:r w:rsidRPr="000B1358">
              <w:rPr>
                <w:rFonts w:ascii="Cambria" w:eastAsia="Cambria" w:hAnsi="Cambria" w:cs="Cambria"/>
                <w:b/>
                <w:color w:val="136C73"/>
                <w:lang w:val="en-GB"/>
              </w:rPr>
              <w:t>Evaluation of an Area in points*</w:t>
            </w:r>
          </w:p>
        </w:tc>
      </w:tr>
      <w:tr w:rsidR="005B13E0" w:rsidRPr="000B1358" w14:paraId="7892B4D6" w14:textId="77777777" w:rsidTr="000B1358">
        <w:trPr>
          <w:trHeight w:val="283"/>
        </w:trPr>
        <w:tc>
          <w:tcPr>
            <w:tcW w:w="675" w:type="dxa"/>
            <w:vAlign w:val="center"/>
          </w:tcPr>
          <w:p w14:paraId="582905BB" w14:textId="77777777" w:rsidR="005B13E0" w:rsidRPr="000B1358" w:rsidRDefault="005B13E0" w:rsidP="005B13E0">
            <w:pPr>
              <w:jc w:val="center"/>
              <w:rPr>
                <w:rFonts w:ascii="Cambria" w:eastAsia="Cambria" w:hAnsi="Cambria" w:cs="Cambria"/>
                <w:lang w:val="en-GB"/>
              </w:rPr>
            </w:pPr>
            <w:r w:rsidRPr="000B1358">
              <w:rPr>
                <w:rFonts w:ascii="Cambria" w:eastAsia="Cambria" w:hAnsi="Cambria" w:cs="Cambria"/>
                <w:lang w:val="en-GB"/>
              </w:rPr>
              <w:t>1.</w:t>
            </w:r>
          </w:p>
        </w:tc>
        <w:tc>
          <w:tcPr>
            <w:tcW w:w="7230" w:type="dxa"/>
            <w:tcBorders>
              <w:right w:val="single" w:sz="4" w:space="0" w:color="auto"/>
            </w:tcBorders>
            <w:vAlign w:val="center"/>
          </w:tcPr>
          <w:p w14:paraId="38CDBCC3" w14:textId="77777777" w:rsidR="005B13E0" w:rsidRPr="000B1358" w:rsidRDefault="005B13E0" w:rsidP="005B13E0">
            <w:pPr>
              <w:jc w:val="both"/>
              <w:rPr>
                <w:rFonts w:ascii="Cambria" w:eastAsia="Cambria" w:hAnsi="Cambria" w:cs="Cambria"/>
                <w:lang w:val="en-GB"/>
              </w:rPr>
            </w:pPr>
            <w:r w:rsidRPr="000B1358">
              <w:rPr>
                <w:rFonts w:ascii="Cambria" w:eastAsia="Cambria" w:hAnsi="Cambria" w:cs="Cambria"/>
                <w:lang w:val="en-GB"/>
              </w:rPr>
              <w:t>Intended and achieved learning outcomes and curriculum</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CF58E9" w14:textId="1085E5D5" w:rsidR="005B13E0" w:rsidRPr="000B1358" w:rsidRDefault="005B13E0" w:rsidP="005B13E0">
            <w:pPr>
              <w:ind w:left="-100"/>
              <w:jc w:val="center"/>
              <w:rPr>
                <w:rFonts w:ascii="Cambria" w:eastAsia="Cambria" w:hAnsi="Cambria" w:cs="Cambria"/>
                <w:lang w:val="en-GB"/>
              </w:rPr>
            </w:pPr>
            <w:r>
              <w:rPr>
                <w:rFonts w:ascii="Cambria" w:eastAsia="Cambria" w:hAnsi="Cambria" w:cs="Cambria"/>
              </w:rPr>
              <w:t>3</w:t>
            </w:r>
          </w:p>
        </w:tc>
      </w:tr>
      <w:tr w:rsidR="005B13E0" w:rsidRPr="000B1358" w14:paraId="63604471" w14:textId="77777777" w:rsidTr="000B1358">
        <w:trPr>
          <w:trHeight w:val="283"/>
        </w:trPr>
        <w:tc>
          <w:tcPr>
            <w:tcW w:w="675" w:type="dxa"/>
            <w:vAlign w:val="center"/>
          </w:tcPr>
          <w:p w14:paraId="2F307FE9" w14:textId="77777777" w:rsidR="005B13E0" w:rsidRPr="000B1358" w:rsidRDefault="005B13E0" w:rsidP="005B13E0">
            <w:pPr>
              <w:jc w:val="center"/>
              <w:rPr>
                <w:rFonts w:ascii="Cambria" w:eastAsia="Cambria" w:hAnsi="Cambria" w:cs="Cambria"/>
                <w:lang w:val="en-GB"/>
              </w:rPr>
            </w:pPr>
            <w:r w:rsidRPr="000B1358">
              <w:rPr>
                <w:rFonts w:ascii="Cambria" w:eastAsia="Cambria" w:hAnsi="Cambria" w:cs="Cambria"/>
                <w:lang w:val="en-GB"/>
              </w:rPr>
              <w:t>2.</w:t>
            </w:r>
          </w:p>
        </w:tc>
        <w:tc>
          <w:tcPr>
            <w:tcW w:w="7230" w:type="dxa"/>
            <w:tcBorders>
              <w:right w:val="single" w:sz="4" w:space="0" w:color="auto"/>
            </w:tcBorders>
            <w:vAlign w:val="center"/>
          </w:tcPr>
          <w:p w14:paraId="72A7E562" w14:textId="77777777" w:rsidR="005B13E0" w:rsidRPr="000B1358" w:rsidRDefault="005B13E0" w:rsidP="005B13E0">
            <w:pPr>
              <w:jc w:val="both"/>
              <w:rPr>
                <w:rFonts w:ascii="Cambria" w:eastAsia="Cambria" w:hAnsi="Cambria" w:cs="Cambria"/>
                <w:lang w:val="en-GB"/>
              </w:rPr>
            </w:pPr>
            <w:r w:rsidRPr="000B1358">
              <w:rPr>
                <w:rFonts w:ascii="Cambria" w:eastAsia="Cambria" w:hAnsi="Cambria" w:cs="Cambria"/>
                <w:lang w:val="en-GB"/>
              </w:rPr>
              <w:t>Links between science (art) and studies</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17D557" w14:textId="3E7274EE" w:rsidR="005B13E0" w:rsidRPr="000B1358" w:rsidRDefault="002026A9" w:rsidP="005B13E0">
            <w:pPr>
              <w:ind w:left="-100"/>
              <w:jc w:val="center"/>
              <w:rPr>
                <w:rFonts w:ascii="Cambria" w:eastAsia="Cambria" w:hAnsi="Cambria" w:cs="Cambria"/>
                <w:lang w:val="en-GB"/>
              </w:rPr>
            </w:pPr>
            <w:r>
              <w:rPr>
                <w:rFonts w:ascii="Cambria" w:eastAsia="Cambria" w:hAnsi="Cambria" w:cs="Cambria"/>
              </w:rPr>
              <w:t>3</w:t>
            </w:r>
          </w:p>
        </w:tc>
      </w:tr>
      <w:tr w:rsidR="005B13E0" w:rsidRPr="000B1358" w14:paraId="74B8EDA3" w14:textId="77777777" w:rsidTr="000B1358">
        <w:trPr>
          <w:trHeight w:val="283"/>
        </w:trPr>
        <w:tc>
          <w:tcPr>
            <w:tcW w:w="675" w:type="dxa"/>
            <w:vAlign w:val="center"/>
          </w:tcPr>
          <w:p w14:paraId="7F2E9B15" w14:textId="77777777" w:rsidR="005B13E0" w:rsidRPr="000B1358" w:rsidRDefault="005B13E0" w:rsidP="005B13E0">
            <w:pPr>
              <w:jc w:val="center"/>
              <w:rPr>
                <w:rFonts w:ascii="Cambria" w:eastAsia="Cambria" w:hAnsi="Cambria" w:cs="Cambria"/>
                <w:lang w:val="en-GB"/>
              </w:rPr>
            </w:pPr>
            <w:r w:rsidRPr="000B1358">
              <w:rPr>
                <w:rFonts w:ascii="Cambria" w:eastAsia="Cambria" w:hAnsi="Cambria" w:cs="Cambria"/>
                <w:lang w:val="en-GB"/>
              </w:rPr>
              <w:t>3.</w:t>
            </w:r>
          </w:p>
        </w:tc>
        <w:tc>
          <w:tcPr>
            <w:tcW w:w="7230" w:type="dxa"/>
            <w:tcBorders>
              <w:right w:val="single" w:sz="4" w:space="0" w:color="auto"/>
            </w:tcBorders>
            <w:vAlign w:val="center"/>
          </w:tcPr>
          <w:p w14:paraId="3A007462" w14:textId="77777777" w:rsidR="005B13E0" w:rsidRPr="000B1358" w:rsidRDefault="005B13E0" w:rsidP="005B13E0">
            <w:pPr>
              <w:jc w:val="both"/>
              <w:rPr>
                <w:rFonts w:ascii="Cambria" w:eastAsia="Cambria" w:hAnsi="Cambria" w:cs="Cambria"/>
                <w:lang w:val="en-GB"/>
              </w:rPr>
            </w:pPr>
            <w:r w:rsidRPr="000B1358">
              <w:rPr>
                <w:rFonts w:ascii="Cambria" w:eastAsia="Cambria" w:hAnsi="Cambria" w:cs="Cambria"/>
                <w:lang w:val="en-GB"/>
              </w:rPr>
              <w:t>Student admission and support</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7DA1E7" w14:textId="4316608A" w:rsidR="005B13E0" w:rsidRPr="000B1358" w:rsidRDefault="002026A9" w:rsidP="005B13E0">
            <w:pPr>
              <w:ind w:left="-100"/>
              <w:jc w:val="center"/>
              <w:rPr>
                <w:rFonts w:ascii="Cambria" w:eastAsia="Cambria" w:hAnsi="Cambria" w:cs="Cambria"/>
                <w:lang w:val="en-GB"/>
              </w:rPr>
            </w:pPr>
            <w:r>
              <w:rPr>
                <w:rFonts w:ascii="Cambria" w:eastAsia="Cambria" w:hAnsi="Cambria" w:cs="Cambria"/>
              </w:rPr>
              <w:t>3</w:t>
            </w:r>
          </w:p>
        </w:tc>
      </w:tr>
      <w:tr w:rsidR="005B13E0" w:rsidRPr="000B1358" w14:paraId="77A78CC9" w14:textId="77777777" w:rsidTr="000B1358">
        <w:trPr>
          <w:trHeight w:val="283"/>
        </w:trPr>
        <w:tc>
          <w:tcPr>
            <w:tcW w:w="675" w:type="dxa"/>
            <w:vAlign w:val="center"/>
          </w:tcPr>
          <w:p w14:paraId="7581746E" w14:textId="77777777" w:rsidR="005B13E0" w:rsidRPr="000B1358" w:rsidRDefault="005B13E0" w:rsidP="005B13E0">
            <w:pPr>
              <w:jc w:val="center"/>
              <w:rPr>
                <w:rFonts w:ascii="Cambria" w:eastAsia="Cambria" w:hAnsi="Cambria" w:cs="Cambria"/>
                <w:lang w:val="en-GB"/>
              </w:rPr>
            </w:pPr>
            <w:r w:rsidRPr="000B1358">
              <w:rPr>
                <w:rFonts w:ascii="Cambria" w:eastAsia="Cambria" w:hAnsi="Cambria" w:cs="Cambria"/>
                <w:lang w:val="en-GB"/>
              </w:rPr>
              <w:t>4.</w:t>
            </w:r>
          </w:p>
        </w:tc>
        <w:tc>
          <w:tcPr>
            <w:tcW w:w="7230" w:type="dxa"/>
            <w:tcBorders>
              <w:right w:val="single" w:sz="4" w:space="0" w:color="auto"/>
            </w:tcBorders>
            <w:vAlign w:val="center"/>
          </w:tcPr>
          <w:p w14:paraId="025CA7A9" w14:textId="77777777" w:rsidR="005B13E0" w:rsidRPr="000B1358" w:rsidRDefault="005B13E0" w:rsidP="005B13E0">
            <w:pPr>
              <w:jc w:val="both"/>
              <w:rPr>
                <w:rFonts w:ascii="Cambria" w:eastAsia="Cambria" w:hAnsi="Cambria" w:cs="Cambria"/>
                <w:lang w:val="en-GB"/>
              </w:rPr>
            </w:pPr>
            <w:r w:rsidRPr="000B1358">
              <w:rPr>
                <w:rFonts w:ascii="Cambria" w:eastAsia="Cambria" w:hAnsi="Cambria" w:cs="Cambria"/>
                <w:lang w:val="en-GB"/>
              </w:rPr>
              <w:t>Teaching and learning, student performance and graduate employment</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98B013" w14:textId="7046B1E8" w:rsidR="005B13E0" w:rsidRPr="000B1358" w:rsidRDefault="005B13E0" w:rsidP="005B13E0">
            <w:pPr>
              <w:ind w:left="-100"/>
              <w:jc w:val="center"/>
              <w:rPr>
                <w:rFonts w:ascii="Cambria" w:eastAsia="Cambria" w:hAnsi="Cambria" w:cs="Cambria"/>
                <w:lang w:val="en-GB"/>
              </w:rPr>
            </w:pPr>
            <w:r>
              <w:rPr>
                <w:rFonts w:ascii="Cambria" w:eastAsia="Cambria" w:hAnsi="Cambria" w:cs="Cambria"/>
              </w:rPr>
              <w:t>3</w:t>
            </w:r>
          </w:p>
        </w:tc>
      </w:tr>
      <w:tr w:rsidR="002026A9" w:rsidRPr="000B1358" w14:paraId="27DB2CE5" w14:textId="77777777" w:rsidTr="00A47366">
        <w:trPr>
          <w:trHeight w:val="283"/>
        </w:trPr>
        <w:tc>
          <w:tcPr>
            <w:tcW w:w="675" w:type="dxa"/>
            <w:vAlign w:val="center"/>
          </w:tcPr>
          <w:p w14:paraId="71D10197" w14:textId="77777777" w:rsidR="002026A9" w:rsidRPr="000B1358" w:rsidRDefault="002026A9" w:rsidP="002026A9">
            <w:pPr>
              <w:jc w:val="center"/>
              <w:rPr>
                <w:rFonts w:ascii="Cambria" w:eastAsia="Cambria" w:hAnsi="Cambria" w:cs="Cambria"/>
                <w:lang w:val="en-GB"/>
              </w:rPr>
            </w:pPr>
            <w:r w:rsidRPr="000B1358">
              <w:rPr>
                <w:rFonts w:ascii="Cambria" w:eastAsia="Cambria" w:hAnsi="Cambria" w:cs="Cambria"/>
                <w:lang w:val="en-GB"/>
              </w:rPr>
              <w:t>5.</w:t>
            </w:r>
          </w:p>
        </w:tc>
        <w:tc>
          <w:tcPr>
            <w:tcW w:w="7230" w:type="dxa"/>
            <w:tcBorders>
              <w:right w:val="single" w:sz="4" w:space="0" w:color="auto"/>
            </w:tcBorders>
            <w:vAlign w:val="center"/>
          </w:tcPr>
          <w:p w14:paraId="7A36E062" w14:textId="77777777" w:rsidR="002026A9" w:rsidRPr="000B1358" w:rsidRDefault="002026A9" w:rsidP="002026A9">
            <w:pPr>
              <w:jc w:val="both"/>
              <w:rPr>
                <w:rFonts w:ascii="Cambria" w:eastAsia="Cambria" w:hAnsi="Cambria" w:cs="Cambria"/>
                <w:lang w:val="en-GB"/>
              </w:rPr>
            </w:pPr>
            <w:r w:rsidRPr="000B1358">
              <w:rPr>
                <w:rFonts w:ascii="Cambria" w:eastAsia="Cambria" w:hAnsi="Cambria" w:cs="Cambria"/>
                <w:lang w:val="en-GB"/>
              </w:rPr>
              <w:t>Teaching staff</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4B0A69" w14:textId="002E9DB4" w:rsidR="002026A9" w:rsidRPr="000B1358" w:rsidRDefault="002026A9" w:rsidP="002026A9">
            <w:pPr>
              <w:ind w:left="-100"/>
              <w:jc w:val="center"/>
              <w:rPr>
                <w:rFonts w:ascii="Cambria" w:eastAsia="Cambria" w:hAnsi="Cambria" w:cs="Cambria"/>
                <w:lang w:val="en-GB"/>
              </w:rPr>
            </w:pPr>
            <w:r w:rsidRPr="008448C8">
              <w:rPr>
                <w:rFonts w:ascii="Cambria" w:eastAsia="Cambria" w:hAnsi="Cambria" w:cs="Cambria"/>
              </w:rPr>
              <w:t>3</w:t>
            </w:r>
          </w:p>
        </w:tc>
      </w:tr>
      <w:tr w:rsidR="002026A9" w:rsidRPr="000B1358" w14:paraId="2656E4D3" w14:textId="77777777" w:rsidTr="00A47366">
        <w:trPr>
          <w:trHeight w:val="283"/>
        </w:trPr>
        <w:tc>
          <w:tcPr>
            <w:tcW w:w="675" w:type="dxa"/>
            <w:vAlign w:val="center"/>
          </w:tcPr>
          <w:p w14:paraId="1E56235C" w14:textId="77777777" w:rsidR="002026A9" w:rsidRPr="000B1358" w:rsidRDefault="002026A9" w:rsidP="002026A9">
            <w:pPr>
              <w:jc w:val="center"/>
              <w:rPr>
                <w:rFonts w:ascii="Cambria" w:eastAsia="Cambria" w:hAnsi="Cambria" w:cs="Cambria"/>
                <w:lang w:val="en-GB"/>
              </w:rPr>
            </w:pPr>
            <w:r w:rsidRPr="000B1358">
              <w:rPr>
                <w:rFonts w:ascii="Cambria" w:eastAsia="Cambria" w:hAnsi="Cambria" w:cs="Cambria"/>
                <w:lang w:val="en-GB"/>
              </w:rPr>
              <w:t>6.</w:t>
            </w:r>
          </w:p>
        </w:tc>
        <w:tc>
          <w:tcPr>
            <w:tcW w:w="7230" w:type="dxa"/>
            <w:tcBorders>
              <w:right w:val="single" w:sz="4" w:space="0" w:color="auto"/>
            </w:tcBorders>
            <w:vAlign w:val="center"/>
          </w:tcPr>
          <w:p w14:paraId="699755EA" w14:textId="77777777" w:rsidR="002026A9" w:rsidRPr="000B1358" w:rsidRDefault="002026A9" w:rsidP="002026A9">
            <w:pPr>
              <w:jc w:val="both"/>
              <w:rPr>
                <w:rFonts w:ascii="Cambria" w:eastAsia="Cambria" w:hAnsi="Cambria" w:cs="Cambria"/>
                <w:lang w:val="en-GB"/>
              </w:rPr>
            </w:pPr>
            <w:r w:rsidRPr="000B1358">
              <w:rPr>
                <w:rFonts w:ascii="Cambria" w:eastAsia="Cambria" w:hAnsi="Cambria" w:cs="Cambria"/>
                <w:lang w:val="en-GB"/>
              </w:rPr>
              <w:t>Learning facilities and resources</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C7D583" w14:textId="0B1274D0" w:rsidR="002026A9" w:rsidRPr="000B1358" w:rsidRDefault="002026A9" w:rsidP="002026A9">
            <w:pPr>
              <w:ind w:left="-100"/>
              <w:jc w:val="center"/>
              <w:rPr>
                <w:rFonts w:ascii="Cambria" w:eastAsia="Cambria" w:hAnsi="Cambria" w:cs="Cambria"/>
                <w:lang w:val="en-GB"/>
              </w:rPr>
            </w:pPr>
            <w:r w:rsidRPr="008448C8">
              <w:rPr>
                <w:rFonts w:ascii="Cambria" w:eastAsia="Cambria" w:hAnsi="Cambria" w:cs="Cambria"/>
              </w:rPr>
              <w:t>3</w:t>
            </w:r>
          </w:p>
        </w:tc>
      </w:tr>
      <w:tr w:rsidR="005B13E0" w:rsidRPr="000B1358" w14:paraId="5E5ECFD9" w14:textId="77777777" w:rsidTr="000B1358">
        <w:trPr>
          <w:trHeight w:val="283"/>
        </w:trPr>
        <w:tc>
          <w:tcPr>
            <w:tcW w:w="675" w:type="dxa"/>
            <w:vAlign w:val="center"/>
          </w:tcPr>
          <w:p w14:paraId="6E952B38" w14:textId="77777777" w:rsidR="005B13E0" w:rsidRPr="000B1358" w:rsidRDefault="005B13E0" w:rsidP="005B13E0">
            <w:pPr>
              <w:jc w:val="center"/>
              <w:rPr>
                <w:rFonts w:ascii="Cambria" w:eastAsia="Cambria" w:hAnsi="Cambria" w:cs="Cambria"/>
                <w:lang w:val="en-GB"/>
              </w:rPr>
            </w:pPr>
            <w:r w:rsidRPr="000B1358">
              <w:rPr>
                <w:rFonts w:ascii="Cambria" w:eastAsia="Cambria" w:hAnsi="Cambria" w:cs="Cambria"/>
                <w:lang w:val="en-GB"/>
              </w:rPr>
              <w:t>7.</w:t>
            </w:r>
          </w:p>
        </w:tc>
        <w:tc>
          <w:tcPr>
            <w:tcW w:w="7230" w:type="dxa"/>
            <w:tcBorders>
              <w:right w:val="single" w:sz="4" w:space="0" w:color="auto"/>
            </w:tcBorders>
            <w:vAlign w:val="center"/>
          </w:tcPr>
          <w:p w14:paraId="6BA808DD" w14:textId="77777777" w:rsidR="005B13E0" w:rsidRPr="000B1358" w:rsidRDefault="005B13E0" w:rsidP="005B13E0">
            <w:pPr>
              <w:jc w:val="both"/>
              <w:rPr>
                <w:rFonts w:ascii="Cambria" w:eastAsia="Cambria" w:hAnsi="Cambria" w:cs="Cambria"/>
                <w:lang w:val="en-GB"/>
              </w:rPr>
            </w:pPr>
            <w:r w:rsidRPr="000B1358">
              <w:rPr>
                <w:rFonts w:ascii="Cambria" w:eastAsia="Cambria" w:hAnsi="Cambria" w:cs="Cambria"/>
                <w:lang w:val="en-GB"/>
              </w:rPr>
              <w:t>Study quality management and public information</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68FA80" w14:textId="5A8CE02B" w:rsidR="005B13E0" w:rsidRPr="000B1358" w:rsidRDefault="005B13E0" w:rsidP="005B13E0">
            <w:pPr>
              <w:ind w:left="-100"/>
              <w:jc w:val="center"/>
              <w:rPr>
                <w:rFonts w:ascii="Cambria" w:eastAsia="Cambria" w:hAnsi="Cambria" w:cs="Cambria"/>
                <w:lang w:val="en-GB"/>
              </w:rPr>
            </w:pPr>
            <w:r>
              <w:rPr>
                <w:rFonts w:ascii="Cambria" w:eastAsia="Cambria" w:hAnsi="Cambria" w:cs="Cambria"/>
              </w:rPr>
              <w:t>3</w:t>
            </w:r>
          </w:p>
        </w:tc>
      </w:tr>
      <w:tr w:rsidR="005B13E0" w:rsidRPr="000B1358" w14:paraId="04949AFE" w14:textId="77777777" w:rsidTr="002026A9">
        <w:trPr>
          <w:trHeight w:val="392"/>
        </w:trPr>
        <w:tc>
          <w:tcPr>
            <w:tcW w:w="7905" w:type="dxa"/>
            <w:gridSpan w:val="2"/>
            <w:vAlign w:val="center"/>
          </w:tcPr>
          <w:p w14:paraId="76589F61" w14:textId="77777777" w:rsidR="005B13E0" w:rsidRPr="000B1358" w:rsidRDefault="005B13E0" w:rsidP="005B13E0">
            <w:pPr>
              <w:jc w:val="right"/>
              <w:rPr>
                <w:rFonts w:ascii="Cambria" w:eastAsia="Cambria" w:hAnsi="Cambria" w:cs="Cambria"/>
                <w:b/>
                <w:lang w:val="en-GB"/>
              </w:rPr>
            </w:pPr>
            <w:r w:rsidRPr="000B1358">
              <w:rPr>
                <w:rFonts w:ascii="Cambria" w:eastAsia="Cambria" w:hAnsi="Cambria" w:cs="Cambria"/>
                <w:b/>
                <w:lang w:val="en-GB"/>
              </w:rPr>
              <w:t>Total:</w:t>
            </w:r>
          </w:p>
        </w:tc>
        <w:tc>
          <w:tcPr>
            <w:tcW w:w="1842" w:type="dxa"/>
            <w:tcBorders>
              <w:top w:val="single" w:sz="4" w:space="0" w:color="auto"/>
            </w:tcBorders>
            <w:vAlign w:val="center"/>
          </w:tcPr>
          <w:p w14:paraId="40E74D7D" w14:textId="53618FB5" w:rsidR="005B13E0" w:rsidRPr="005B13E0" w:rsidRDefault="005B13E0" w:rsidP="005B13E0">
            <w:pPr>
              <w:ind w:left="-116"/>
              <w:jc w:val="center"/>
              <w:rPr>
                <w:rFonts w:ascii="Cambria" w:eastAsia="Cambria" w:hAnsi="Cambria" w:cs="Cambria"/>
                <w:lang w:val="en-US"/>
              </w:rPr>
            </w:pPr>
            <w:r w:rsidRPr="000B1358">
              <w:rPr>
                <w:rFonts w:ascii="Cambria" w:eastAsia="Cambria" w:hAnsi="Cambria" w:cs="Cambria"/>
                <w:lang w:val="en-GB"/>
              </w:rPr>
              <w:t>2</w:t>
            </w:r>
            <w:r w:rsidR="002026A9">
              <w:rPr>
                <w:rFonts w:ascii="Cambria" w:eastAsia="Cambria" w:hAnsi="Cambria" w:cs="Cambria"/>
                <w:lang w:val="en-US"/>
              </w:rPr>
              <w:t>1</w:t>
            </w:r>
          </w:p>
        </w:tc>
      </w:tr>
    </w:tbl>
    <w:p w14:paraId="540AA8EF" w14:textId="77777777" w:rsidR="000B1358" w:rsidRPr="000B1358" w:rsidRDefault="000B1358" w:rsidP="000B1358">
      <w:pPr>
        <w:jc w:val="both"/>
        <w:rPr>
          <w:rFonts w:ascii="Cambria" w:eastAsia="Cambria" w:hAnsi="Cambria" w:cs="Cambria"/>
          <w:sz w:val="20"/>
          <w:szCs w:val="20"/>
          <w:lang w:val="en-GB"/>
        </w:rPr>
      </w:pPr>
    </w:p>
    <w:p w14:paraId="37FFCE8A" w14:textId="77777777" w:rsidR="000B1358" w:rsidRPr="000B1358" w:rsidRDefault="000B1358" w:rsidP="000B1358">
      <w:pPr>
        <w:jc w:val="both"/>
        <w:rPr>
          <w:rFonts w:ascii="Cambria" w:eastAsia="Cambria" w:hAnsi="Cambria" w:cs="Cambria"/>
          <w:sz w:val="20"/>
          <w:szCs w:val="20"/>
          <w:lang w:val="en-GB"/>
        </w:rPr>
      </w:pPr>
      <w:r w:rsidRPr="000B1358">
        <w:rPr>
          <w:rFonts w:ascii="Cambria" w:eastAsia="Cambria" w:hAnsi="Cambria" w:cs="Cambria"/>
          <w:sz w:val="20"/>
          <w:szCs w:val="20"/>
          <w:lang w:val="en-GB"/>
        </w:rPr>
        <w:t>*1 (unsatisfactory) - the area does not meet the minimum requirements, there are fundamental shortcomings that prevent the implementation of the field studies.</w:t>
      </w:r>
    </w:p>
    <w:p w14:paraId="6BA34551" w14:textId="77777777" w:rsidR="000B1358" w:rsidRPr="000B1358" w:rsidRDefault="000B1358" w:rsidP="000B1358">
      <w:pPr>
        <w:jc w:val="both"/>
        <w:rPr>
          <w:rFonts w:ascii="Cambria" w:eastAsia="Cambria" w:hAnsi="Cambria" w:cs="Cambria"/>
          <w:sz w:val="20"/>
          <w:szCs w:val="20"/>
          <w:lang w:val="en-GB"/>
        </w:rPr>
      </w:pPr>
      <w:r w:rsidRPr="000B1358">
        <w:rPr>
          <w:rFonts w:ascii="Cambria" w:eastAsia="Cambria" w:hAnsi="Cambria" w:cs="Cambria"/>
          <w:sz w:val="20"/>
          <w:szCs w:val="20"/>
          <w:lang w:val="en-GB"/>
        </w:rPr>
        <w:t>2 (satisfactory) - the area meets the minimum requirements, and there are fundamental shortcomings that need to be eliminated.</w:t>
      </w:r>
    </w:p>
    <w:p w14:paraId="71A735AD" w14:textId="77777777" w:rsidR="000B1358" w:rsidRPr="000B1358" w:rsidRDefault="000B1358" w:rsidP="000B1358">
      <w:pPr>
        <w:jc w:val="both"/>
        <w:rPr>
          <w:rFonts w:ascii="Cambria" w:eastAsia="Cambria" w:hAnsi="Cambria" w:cs="Cambria"/>
          <w:sz w:val="20"/>
          <w:szCs w:val="20"/>
          <w:lang w:val="en-GB"/>
        </w:rPr>
      </w:pPr>
      <w:r w:rsidRPr="000B1358">
        <w:rPr>
          <w:rFonts w:ascii="Cambria" w:eastAsia="Cambria" w:hAnsi="Cambria" w:cs="Cambria"/>
          <w:sz w:val="20"/>
          <w:szCs w:val="20"/>
          <w:lang w:val="en-GB"/>
        </w:rPr>
        <w:t>3 (good) - the area is being developed systematically, without any fundamental shortcomings.</w:t>
      </w:r>
    </w:p>
    <w:p w14:paraId="36C3146D" w14:textId="77777777" w:rsidR="000B1358" w:rsidRPr="000B1358" w:rsidRDefault="000B1358" w:rsidP="000B1358">
      <w:pPr>
        <w:jc w:val="both"/>
        <w:rPr>
          <w:rFonts w:ascii="Cambria" w:eastAsia="Cambria" w:hAnsi="Cambria" w:cs="Cambria"/>
          <w:sz w:val="20"/>
          <w:szCs w:val="20"/>
          <w:lang w:val="en-GB"/>
        </w:rPr>
      </w:pPr>
      <w:r w:rsidRPr="000B1358">
        <w:rPr>
          <w:rFonts w:ascii="Cambria" w:eastAsia="Cambria" w:hAnsi="Cambria" w:cs="Cambria"/>
          <w:sz w:val="20"/>
          <w:szCs w:val="20"/>
          <w:lang w:val="en-GB"/>
        </w:rPr>
        <w:t>4 (very good) - the area is evaluated very well in the national context and internationally, without any shortcomings;</w:t>
      </w:r>
    </w:p>
    <w:p w14:paraId="74F366B2" w14:textId="77777777" w:rsidR="000B1358" w:rsidRPr="000B1358" w:rsidRDefault="000B1358" w:rsidP="000B1358">
      <w:pPr>
        <w:jc w:val="both"/>
        <w:rPr>
          <w:rFonts w:ascii="Cambria" w:eastAsia="Cambria" w:hAnsi="Cambria" w:cs="Cambria"/>
          <w:sz w:val="20"/>
          <w:szCs w:val="20"/>
          <w:lang w:val="en-GB"/>
        </w:rPr>
      </w:pPr>
      <w:r w:rsidRPr="000B1358">
        <w:rPr>
          <w:rFonts w:ascii="Cambria" w:eastAsia="Cambria" w:hAnsi="Cambria" w:cs="Cambria"/>
          <w:sz w:val="20"/>
          <w:szCs w:val="20"/>
          <w:lang w:val="en-GB"/>
        </w:rPr>
        <w:t>5 (excellent) - the area is evaluated exceptionally well in the national context and internationally.</w:t>
      </w:r>
    </w:p>
    <w:p w14:paraId="00FBB6C6" w14:textId="17A96738" w:rsidR="0043262A" w:rsidRPr="000B1358" w:rsidRDefault="0043262A" w:rsidP="008F64DA">
      <w:pPr>
        <w:spacing w:line="276" w:lineRule="auto"/>
        <w:rPr>
          <w:rFonts w:ascii="Cambria" w:eastAsia="Calibri" w:hAnsi="Cambria"/>
          <w:i/>
          <w:highlight w:val="yellow"/>
          <w:lang w:val="en-GB" w:eastAsia="lt-LT"/>
        </w:rPr>
      </w:pPr>
      <w:r w:rsidRPr="0043262A">
        <w:rPr>
          <w:rFonts w:ascii="Cambria" w:eastAsia="Calibri" w:hAnsi="Cambria"/>
          <w:lang w:val="en-GB" w:eastAsia="lt-LT"/>
        </w:rPr>
        <w:br w:type="page"/>
      </w:r>
    </w:p>
    <w:p w14:paraId="4307FB30" w14:textId="6F71E040" w:rsidR="00677F9A" w:rsidRPr="00F024F0" w:rsidRDefault="00677F9A" w:rsidP="008F64DA">
      <w:pPr>
        <w:keepNext/>
        <w:keepLines/>
        <w:tabs>
          <w:tab w:val="left" w:pos="680"/>
          <w:tab w:val="left" w:pos="2535"/>
          <w:tab w:val="center" w:pos="4999"/>
        </w:tabs>
        <w:spacing w:line="276" w:lineRule="auto"/>
        <w:jc w:val="center"/>
        <w:outlineLvl w:val="1"/>
        <w:rPr>
          <w:rFonts w:ascii="Cambria" w:hAnsi="Cambria"/>
          <w:b/>
          <w:bCs/>
          <w:caps/>
          <w:color w:val="136C73"/>
          <w:sz w:val="28"/>
          <w:szCs w:val="28"/>
          <w:lang w:val="en-GB" w:eastAsia="lt-LT"/>
        </w:rPr>
      </w:pPr>
      <w:bookmarkStart w:id="2" w:name="_Toc57129360"/>
      <w:r w:rsidRPr="00F024F0">
        <w:rPr>
          <w:rFonts w:ascii="Cambria" w:hAnsi="Cambria"/>
          <w:b/>
          <w:bCs/>
          <w:caps/>
          <w:color w:val="136C73"/>
          <w:sz w:val="28"/>
          <w:szCs w:val="28"/>
          <w:lang w:val="en-GB" w:eastAsia="lt-LT"/>
        </w:rPr>
        <w:lastRenderedPageBreak/>
        <w:t>IV. EXAMPLES OF EXcELlENCE</w:t>
      </w:r>
      <w:bookmarkEnd w:id="2"/>
    </w:p>
    <w:p w14:paraId="243C3D80" w14:textId="77777777" w:rsidR="00677F9A" w:rsidRPr="0043262A" w:rsidRDefault="00677F9A" w:rsidP="008F64DA">
      <w:pPr>
        <w:spacing w:line="276" w:lineRule="auto"/>
        <w:rPr>
          <w:rFonts w:ascii="Cambria" w:eastAsia="Calibri" w:hAnsi="Cambria"/>
          <w:lang w:val="en-GB" w:eastAsia="lt-LT"/>
        </w:rPr>
      </w:pPr>
    </w:p>
    <w:p w14:paraId="48753BB6" w14:textId="77777777" w:rsidR="000B1358" w:rsidRPr="002026A9" w:rsidRDefault="000B1358" w:rsidP="002026A9">
      <w:pPr>
        <w:spacing w:line="276" w:lineRule="auto"/>
        <w:jc w:val="both"/>
        <w:rPr>
          <w:rFonts w:ascii="Cambria" w:eastAsia="Cambria" w:hAnsi="Cambria" w:cs="Cambria"/>
          <w:lang w:val="en-GB"/>
        </w:rPr>
      </w:pPr>
      <w:r w:rsidRPr="002026A9">
        <w:rPr>
          <w:rFonts w:ascii="Cambria" w:eastAsia="Cambria" w:hAnsi="Cambria" w:cs="Cambria"/>
          <w:b/>
          <w:i/>
          <w:lang w:val="en-GB"/>
        </w:rPr>
        <w:t>Core definition</w:t>
      </w:r>
      <w:r w:rsidRPr="002026A9">
        <w:rPr>
          <w:rFonts w:ascii="Cambria" w:eastAsia="Cambria" w:hAnsi="Cambria" w:cs="Cambria"/>
          <w:lang w:val="en-GB"/>
        </w:rPr>
        <w:t>: Excellence means exhibiting exceptional characteristics that are, implicitly, not achievable by all.</w:t>
      </w:r>
    </w:p>
    <w:p w14:paraId="54808DAE" w14:textId="77777777" w:rsidR="000B1358" w:rsidRPr="002026A9" w:rsidRDefault="000B1358" w:rsidP="002026A9">
      <w:pPr>
        <w:spacing w:line="276" w:lineRule="auto"/>
        <w:jc w:val="both"/>
        <w:rPr>
          <w:rFonts w:ascii="Cambria" w:eastAsia="Cambria" w:hAnsi="Cambria" w:cs="Cambria"/>
          <w:lang w:val="en-GB"/>
        </w:rPr>
      </w:pPr>
    </w:p>
    <w:p w14:paraId="18AF6C8D"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 expert panel appreciates the capacity of the HEI to operate proficiently in various languages and its adaptability in delivering education in different languages, thereby demonstrating a student-centred teaching approach. This provides an important interface not only for Ukrainian war refugees but also between students of other international backgrounds and the EU labour market.</w:t>
      </w:r>
    </w:p>
    <w:p w14:paraId="1CE42455" w14:textId="77777777" w:rsidR="002026A9" w:rsidRPr="002026A9" w:rsidRDefault="002026A9" w:rsidP="002026A9">
      <w:pPr>
        <w:spacing w:line="276" w:lineRule="auto"/>
        <w:jc w:val="both"/>
        <w:rPr>
          <w:rFonts w:ascii="Cambria" w:eastAsia="Cambria" w:hAnsi="Cambria" w:cs="Cambria"/>
          <w:lang w:val="en-GB"/>
        </w:rPr>
      </w:pPr>
    </w:p>
    <w:p w14:paraId="775292D0"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History (and ongoing efforts) of close development of the Product and Logistics Management programme with the regional market results in a highly relevant programme that produces qualified and in-demand graduates. The degree of collaboration that goes into the design of this programme should be considered as an example of excellence.</w:t>
      </w:r>
    </w:p>
    <w:p w14:paraId="2153DD2F" w14:textId="0563470F" w:rsidR="006501B9" w:rsidRPr="0043262A" w:rsidRDefault="00BB1255" w:rsidP="005B13E0">
      <w:pPr>
        <w:spacing w:line="276" w:lineRule="auto"/>
        <w:rPr>
          <w:rFonts w:ascii="Cambria" w:eastAsia="Calibri" w:hAnsi="Cambria"/>
          <w:lang w:val="en-GB" w:eastAsia="lt-LT"/>
        </w:rPr>
      </w:pPr>
      <w:r w:rsidRPr="0043262A">
        <w:rPr>
          <w:rFonts w:ascii="Cambria" w:eastAsia="Calibri" w:hAnsi="Cambria"/>
          <w:lang w:val="en-GB" w:eastAsia="lt-LT"/>
        </w:rPr>
        <w:br w:type="page"/>
      </w:r>
    </w:p>
    <w:p w14:paraId="705949B6" w14:textId="300F06D0" w:rsidR="00677F9A" w:rsidRPr="002026A9" w:rsidRDefault="00677F9A" w:rsidP="008F64DA">
      <w:pPr>
        <w:keepNext/>
        <w:keepLines/>
        <w:tabs>
          <w:tab w:val="left" w:pos="680"/>
        </w:tabs>
        <w:spacing w:line="276" w:lineRule="auto"/>
        <w:ind w:left="360"/>
        <w:jc w:val="center"/>
        <w:outlineLvl w:val="1"/>
        <w:rPr>
          <w:rFonts w:asciiTheme="majorHAnsi" w:hAnsiTheme="majorHAnsi"/>
          <w:b/>
          <w:bCs/>
          <w:caps/>
          <w:color w:val="136C73"/>
          <w:sz w:val="28"/>
          <w:szCs w:val="28"/>
          <w:lang w:val="en-GB" w:eastAsia="lt-LT"/>
        </w:rPr>
      </w:pPr>
      <w:bookmarkStart w:id="3" w:name="_Toc57129361"/>
      <w:r w:rsidRPr="002026A9">
        <w:rPr>
          <w:rFonts w:asciiTheme="majorHAnsi" w:hAnsiTheme="majorHAnsi"/>
          <w:b/>
          <w:bCs/>
          <w:caps/>
          <w:color w:val="136C73"/>
          <w:sz w:val="28"/>
          <w:szCs w:val="28"/>
          <w:lang w:val="en-GB" w:eastAsia="lt-LT"/>
        </w:rPr>
        <w:lastRenderedPageBreak/>
        <w:t>v. RECOMMENDATIONS</w:t>
      </w:r>
      <w:bookmarkEnd w:id="3"/>
    </w:p>
    <w:p w14:paraId="379336E5" w14:textId="77777777" w:rsidR="00F024F0" w:rsidRPr="002026A9" w:rsidRDefault="00F024F0" w:rsidP="008F64DA">
      <w:pPr>
        <w:keepNext/>
        <w:keepLines/>
        <w:tabs>
          <w:tab w:val="left" w:pos="680"/>
        </w:tabs>
        <w:spacing w:line="276" w:lineRule="auto"/>
        <w:ind w:left="360"/>
        <w:jc w:val="center"/>
        <w:outlineLvl w:val="1"/>
        <w:rPr>
          <w:rFonts w:asciiTheme="majorHAnsi" w:hAnsiTheme="majorHAnsi"/>
          <w:b/>
          <w:bCs/>
          <w:caps/>
          <w:color w:val="136C73"/>
          <w:sz w:val="28"/>
          <w:szCs w:val="28"/>
          <w:lang w:val="en-GB"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2026A9" w14:paraId="6B3D8478" w14:textId="77777777" w:rsidTr="000B1358">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2026A9" w:rsidRDefault="00BB1255" w:rsidP="008F64DA">
            <w:pPr>
              <w:pStyle w:val="prastasiniatinklio"/>
              <w:spacing w:before="0" w:beforeAutospacing="0" w:after="0" w:afterAutospacing="0" w:line="276" w:lineRule="auto"/>
              <w:jc w:val="center"/>
              <w:rPr>
                <w:lang w:val="en-GB"/>
              </w:rPr>
            </w:pPr>
            <w:bookmarkStart w:id="4" w:name="_Toc57129362"/>
            <w:r w:rsidRPr="002026A9">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2026A9" w:rsidRDefault="00BB1255" w:rsidP="008F64DA">
            <w:pPr>
              <w:pStyle w:val="prastasiniatinklio"/>
              <w:spacing w:before="0" w:beforeAutospacing="0" w:after="0" w:afterAutospacing="0" w:line="276" w:lineRule="auto"/>
              <w:jc w:val="center"/>
              <w:rPr>
                <w:lang w:val="en-GB"/>
              </w:rPr>
            </w:pPr>
            <w:r w:rsidRPr="002026A9">
              <w:rPr>
                <w:rFonts w:ascii="Cambria" w:hAnsi="Cambria"/>
                <w:b/>
                <w:bCs/>
                <w:color w:val="136C73"/>
                <w:lang w:val="en-GB"/>
              </w:rPr>
              <w:t>Recommendations for the Evaluation Area (study cycle)</w:t>
            </w:r>
          </w:p>
        </w:tc>
      </w:tr>
      <w:tr w:rsidR="002026A9" w:rsidRPr="002026A9" w14:paraId="63D77CEC" w14:textId="77777777" w:rsidTr="00B5066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DA081"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 evaluation panel identified warning signals indicating a potential trend to grade inflation. A grading policy ought to be implemented that avoids situations where +80% of the student population receives top grades.</w:t>
            </w:r>
          </w:p>
          <w:p w14:paraId="4D731BE7" w14:textId="77777777" w:rsidR="002026A9" w:rsidRPr="002026A9" w:rsidRDefault="002026A9" w:rsidP="002026A9">
            <w:pPr>
              <w:spacing w:line="276" w:lineRule="auto"/>
              <w:jc w:val="both"/>
              <w:rPr>
                <w:rFonts w:ascii="Cambria" w:eastAsia="Cambria" w:hAnsi="Cambria" w:cs="Cambria"/>
                <w:lang w:val="en-GB"/>
              </w:rPr>
            </w:pPr>
          </w:p>
          <w:p w14:paraId="540238BF"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There is a demand from the student body for a broader choice of study subjects. Combined with the reports from employers and social partners on the skill gaps of recent graduates in areas of the latest management technology innovations, adding new specialist electives should be considered.</w:t>
            </w:r>
          </w:p>
          <w:p w14:paraId="7447CA54" w14:textId="77777777" w:rsidR="002026A9" w:rsidRPr="002026A9" w:rsidRDefault="002026A9" w:rsidP="002026A9">
            <w:pPr>
              <w:spacing w:line="276" w:lineRule="auto"/>
              <w:jc w:val="both"/>
              <w:rPr>
                <w:rFonts w:ascii="Cambria" w:eastAsia="Cambria" w:hAnsi="Cambria" w:cs="Cambria"/>
                <w:lang w:val="en-GB"/>
              </w:rPr>
            </w:pPr>
          </w:p>
          <w:p w14:paraId="24DA400A" w14:textId="0129FBA5" w:rsidR="002026A9" w:rsidRPr="002026A9" w:rsidRDefault="002026A9" w:rsidP="002026A9">
            <w:pPr>
              <w:spacing w:line="276" w:lineRule="auto"/>
              <w:jc w:val="both"/>
              <w:rPr>
                <w:lang w:val="en-GB"/>
              </w:rPr>
            </w:pPr>
            <w:r w:rsidRPr="002026A9">
              <w:rPr>
                <w:rFonts w:ascii="Cambria" w:eastAsia="Cambria" w:hAnsi="Cambria" w:cs="Cambria"/>
                <w:lang w:val="en-GB"/>
              </w:rPr>
              <w:t>Duplication of content between different modules in the Office Management programme should be investigated and addressed.</w:t>
            </w:r>
          </w:p>
        </w:tc>
      </w:tr>
      <w:tr w:rsidR="002026A9" w:rsidRPr="002026A9" w14:paraId="7B7165B5" w14:textId="77777777" w:rsidTr="00B50665">
        <w:trPr>
          <w:trHeight w:val="983"/>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A7979F"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SVK’s dissemination strategy concerning research publications and presentations is currently mainly reactive and built on individual faculty members’ network contacts rather than on a systematic concept of research quality evaluation and management. The expert panels recommend that a dedicated research policy be implemented that combines increasingly ambitious research targets with a reasonably attractive, individual researcher-focused research incentive system. The panel also suggests a restructuring of the existing portfolio of research groups (see comments in section 3.2.1).</w:t>
            </w:r>
          </w:p>
          <w:p w14:paraId="32708ED2" w14:textId="77777777" w:rsidR="002026A9" w:rsidRPr="002026A9" w:rsidRDefault="002026A9" w:rsidP="002026A9">
            <w:pPr>
              <w:spacing w:line="276" w:lineRule="auto"/>
              <w:jc w:val="both"/>
              <w:rPr>
                <w:rFonts w:ascii="Cambria" w:eastAsia="Cambria" w:hAnsi="Cambria" w:cs="Cambria"/>
                <w:lang w:val="en-GB"/>
              </w:rPr>
            </w:pPr>
          </w:p>
          <w:p w14:paraId="2323EE59"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SVK is an innovation-driven institution, yet the majority of change management initiatives pertain to technological innovation such as digitalisation initiatives. The expert panel recommends a period of deceleration of technological change processes and an increasing focus on social innovations in a bid to ensure that technological and social innovation go hand in hand and complement one another at SVK. The expert panel recommends a discussion on and a potential redefinition of the role of the Head of ITC at SVK, whose influence and knowledge have been assessed as surprisingly large for the head of a support unit not only by the expert panel but also by participants in several on-site discussions at the SVK premises.</w:t>
            </w:r>
          </w:p>
          <w:p w14:paraId="347BA0ED" w14:textId="77777777" w:rsidR="002026A9" w:rsidRPr="002026A9" w:rsidRDefault="002026A9" w:rsidP="002026A9">
            <w:pPr>
              <w:spacing w:line="276" w:lineRule="auto"/>
              <w:jc w:val="both"/>
              <w:rPr>
                <w:rFonts w:ascii="Cambria" w:eastAsia="Cambria" w:hAnsi="Cambria" w:cs="Cambria"/>
                <w:lang w:val="en-GB"/>
              </w:rPr>
            </w:pPr>
          </w:p>
          <w:p w14:paraId="05D980B7" w14:textId="319B8A97" w:rsid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 “Student Scientific Society” seems to be very passive and needs to be re-activated.</w:t>
            </w:r>
          </w:p>
          <w:p w14:paraId="37209A73" w14:textId="77777777" w:rsidR="002026A9" w:rsidRPr="002026A9" w:rsidRDefault="002026A9" w:rsidP="002026A9">
            <w:pPr>
              <w:spacing w:line="276" w:lineRule="auto"/>
              <w:jc w:val="both"/>
              <w:rPr>
                <w:rFonts w:ascii="Cambria" w:eastAsia="Cambria" w:hAnsi="Cambria" w:cs="Cambria"/>
                <w:lang w:val="en-GB"/>
              </w:rPr>
            </w:pPr>
          </w:p>
          <w:p w14:paraId="25E5C989" w14:textId="042B8D14" w:rsidR="002026A9" w:rsidRPr="002026A9" w:rsidRDefault="002026A9" w:rsidP="002026A9">
            <w:pPr>
              <w:spacing w:line="276" w:lineRule="auto"/>
              <w:jc w:val="both"/>
              <w:rPr>
                <w:lang w:val="en-GB"/>
              </w:rPr>
            </w:pPr>
            <w:r w:rsidRPr="002026A9">
              <w:rPr>
                <w:rFonts w:ascii="Cambria" w:eastAsia="Cambria" w:hAnsi="Cambria" w:cs="Cambria"/>
                <w:lang w:val="en-GB"/>
              </w:rPr>
              <w:t>Improvements of the science-studies link are understood as a matter of technological rather than social innovation. This technology bias must be challenged as research is, in the first instance, a social endeavour.</w:t>
            </w:r>
          </w:p>
        </w:tc>
      </w:tr>
      <w:tr w:rsidR="002026A9" w:rsidRPr="002026A9" w14:paraId="129419F5" w14:textId="77777777" w:rsidTr="000B1358">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lastRenderedPageBreak/>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652D1" w14:textId="15CFEC45" w:rsidR="002026A9" w:rsidRPr="002026A9" w:rsidRDefault="002026A9" w:rsidP="002026A9">
            <w:pPr>
              <w:spacing w:line="276" w:lineRule="auto"/>
              <w:jc w:val="both"/>
              <w:rPr>
                <w:lang w:val="en-GB"/>
              </w:rPr>
            </w:pPr>
            <w:r w:rsidRPr="002026A9">
              <w:rPr>
                <w:rFonts w:ascii="Cambria" w:eastAsia="Cambria" w:hAnsi="Cambria" w:cs="Cambria"/>
                <w:lang w:val="en-GB"/>
              </w:rPr>
              <w:t>It is recommended to further exploration of student mobility opportunities, including offering language preparation programmes, to encourage students who may be hesitant due to language barriers.</w:t>
            </w:r>
          </w:p>
        </w:tc>
      </w:tr>
      <w:tr w:rsidR="002026A9" w:rsidRPr="002026A9" w14:paraId="44997A5D" w14:textId="77777777" w:rsidTr="000B1358">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7C8CA"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It is recommended to create a systematic process during which students would receive feedback on whether their suggestions for improving the learning and teaching process are implemented.</w:t>
            </w:r>
          </w:p>
          <w:p w14:paraId="13CED04B" w14:textId="77777777" w:rsidR="002026A9" w:rsidRPr="002026A9" w:rsidRDefault="002026A9" w:rsidP="002026A9">
            <w:pPr>
              <w:spacing w:line="276" w:lineRule="auto"/>
              <w:jc w:val="both"/>
              <w:rPr>
                <w:rFonts w:ascii="Cambria" w:eastAsia="Cambria" w:hAnsi="Cambria" w:cs="Cambria"/>
                <w:lang w:val="en-GB"/>
              </w:rPr>
            </w:pPr>
          </w:p>
          <w:p w14:paraId="688800F4" w14:textId="001977BC" w:rsidR="002026A9" w:rsidRPr="002026A9" w:rsidRDefault="002026A9" w:rsidP="002026A9">
            <w:pPr>
              <w:spacing w:line="276" w:lineRule="auto"/>
              <w:jc w:val="both"/>
              <w:rPr>
                <w:lang w:val="en-GB"/>
              </w:rPr>
            </w:pPr>
            <w:r w:rsidRPr="002026A9">
              <w:rPr>
                <w:rFonts w:ascii="Cambria" w:eastAsia="Cambria" w:hAnsi="Cambria" w:cs="Cambria"/>
                <w:lang w:val="en-GB"/>
              </w:rPr>
              <w:t>The expansion of the network of social partners and potential employers would allow SVK to harness the opportunities of the international labour market and would create potential benefits for students’ employability in the international business market.</w:t>
            </w:r>
          </w:p>
        </w:tc>
      </w:tr>
      <w:tr w:rsidR="002026A9" w:rsidRPr="002026A9" w14:paraId="4AEFD2FD" w14:textId="77777777" w:rsidTr="000B1358">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31A65"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Whereas the scale and scope of international faculty mobility activities are commendable, strategies ought to be developed to support the translation of this wealth of international experiences into increasing numbers of foreign-language teaching offers for international students.</w:t>
            </w:r>
          </w:p>
          <w:p w14:paraId="33E89040" w14:textId="77777777" w:rsidR="002026A9" w:rsidRPr="002026A9" w:rsidRDefault="002026A9" w:rsidP="002026A9">
            <w:pPr>
              <w:spacing w:line="276" w:lineRule="auto"/>
              <w:jc w:val="both"/>
              <w:rPr>
                <w:rFonts w:ascii="Cambria" w:eastAsia="Cambria" w:hAnsi="Cambria" w:cs="Cambria"/>
                <w:lang w:val="en-GB"/>
              </w:rPr>
            </w:pPr>
          </w:p>
          <w:p w14:paraId="20FAA745" w14:textId="7BF2BC97" w:rsidR="002026A9" w:rsidRPr="002026A9" w:rsidRDefault="002026A9" w:rsidP="002026A9">
            <w:pPr>
              <w:spacing w:line="276" w:lineRule="auto"/>
              <w:jc w:val="both"/>
              <w:rPr>
                <w:lang w:val="en-GB"/>
              </w:rPr>
            </w:pPr>
            <w:r w:rsidRPr="002026A9">
              <w:rPr>
                <w:rFonts w:ascii="Cambria" w:eastAsia="Cambria" w:hAnsi="Cambria" w:cs="Cambria"/>
                <w:lang w:val="en-GB"/>
              </w:rPr>
              <w:t>Moreover, the concepts of local/regional and international may be fruitfully combined if SVK more strategically considers neighbouring Latvia as an international partner. Strategic cooperation with academic, business, and social partners from Latvia will create an additional internationalisation boost without straining SVK’s budgets of time and money.</w:t>
            </w:r>
          </w:p>
        </w:tc>
      </w:tr>
      <w:tr w:rsidR="002026A9" w:rsidRPr="002026A9" w14:paraId="48687F27" w14:textId="77777777" w:rsidTr="002026A9">
        <w:trPr>
          <w:trHeight w:val="980"/>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DF450B" w14:textId="2A39E8CA" w:rsidR="002026A9" w:rsidRPr="002026A9" w:rsidRDefault="002026A9" w:rsidP="002026A9">
            <w:pPr>
              <w:spacing w:line="276" w:lineRule="auto"/>
              <w:jc w:val="both"/>
              <w:rPr>
                <w:lang w:val="en-GB"/>
              </w:rPr>
            </w:pPr>
            <w:r w:rsidRPr="002026A9">
              <w:rPr>
                <w:rFonts w:ascii="Cambria" w:eastAsia="Cambria" w:hAnsi="Cambria" w:cs="Cambria"/>
                <w:lang w:val="en-GB"/>
              </w:rPr>
              <w:t>The local facilities, the homepage and internal platforms should be continuously extended to be usable for international guest students and researchers in the same details as for Lithuanian users.</w:t>
            </w:r>
          </w:p>
        </w:tc>
      </w:tr>
      <w:tr w:rsidR="002026A9" w:rsidRPr="002026A9" w14:paraId="4F675000" w14:textId="77777777" w:rsidTr="000B1358">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2026A9" w:rsidRPr="002026A9" w:rsidRDefault="002026A9" w:rsidP="002026A9">
            <w:pPr>
              <w:pStyle w:val="prastasiniatinklio"/>
              <w:spacing w:before="0" w:beforeAutospacing="0" w:after="0" w:afterAutospacing="0" w:line="276" w:lineRule="auto"/>
              <w:rPr>
                <w:lang w:val="en-GB"/>
              </w:rPr>
            </w:pPr>
            <w:r w:rsidRPr="002026A9">
              <w:rPr>
                <w:rFonts w:ascii="Cambria" w:hAnsi="Cambria"/>
                <w:color w:val="136C73"/>
                <w:lang w:val="en-GB"/>
              </w:rPr>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451A5"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SVK has made commendable progress in engaging regional stakeholders in its quality assurance activities. Nonetheless, the absence of international stakeholders’ involvement represents a very important area for enhancement.</w:t>
            </w:r>
          </w:p>
          <w:p w14:paraId="5CDCECA0" w14:textId="77777777" w:rsidR="002026A9" w:rsidRPr="002026A9" w:rsidRDefault="002026A9" w:rsidP="002026A9">
            <w:pPr>
              <w:spacing w:line="276" w:lineRule="auto"/>
              <w:jc w:val="both"/>
              <w:rPr>
                <w:rFonts w:ascii="Cambria" w:eastAsia="Cambria" w:hAnsi="Cambria" w:cs="Cambria"/>
                <w:lang w:val="en-GB"/>
              </w:rPr>
            </w:pPr>
          </w:p>
          <w:p w14:paraId="226E8D1E" w14:textId="77777777" w:rsidR="002026A9" w:rsidRPr="002026A9" w:rsidRDefault="002026A9" w:rsidP="002026A9">
            <w:pPr>
              <w:spacing w:line="276" w:lineRule="auto"/>
              <w:jc w:val="both"/>
              <w:rPr>
                <w:rFonts w:ascii="Cambria" w:eastAsia="Cambria" w:hAnsi="Cambria" w:cs="Cambria"/>
                <w:color w:val="136C73"/>
                <w:lang w:val="en-GB"/>
              </w:rPr>
            </w:pPr>
            <w:r w:rsidRPr="002026A9">
              <w:rPr>
                <w:rFonts w:ascii="Cambria" w:eastAsia="Cambria" w:hAnsi="Cambria" w:cs="Cambria"/>
                <w:lang w:val="en-GB"/>
              </w:rPr>
              <w:t>Moreover, optimising the use of alumni expertise through consistent and proactive communication would significantly contribute to overall improvement and development in the pursuit of academic excellence and international recognition.</w:t>
            </w:r>
          </w:p>
          <w:p w14:paraId="06288D52" w14:textId="77777777" w:rsidR="002026A9" w:rsidRPr="002026A9" w:rsidRDefault="002026A9" w:rsidP="002026A9">
            <w:pPr>
              <w:tabs>
                <w:tab w:val="left" w:pos="1298"/>
                <w:tab w:val="left" w:pos="1701"/>
                <w:tab w:val="left" w:pos="1985"/>
              </w:tabs>
              <w:spacing w:line="276" w:lineRule="auto"/>
              <w:jc w:val="both"/>
              <w:rPr>
                <w:rFonts w:ascii="Cambria" w:eastAsia="Cambria" w:hAnsi="Cambria" w:cs="Cambria"/>
                <w:lang w:val="en-GB"/>
              </w:rPr>
            </w:pPr>
          </w:p>
          <w:p w14:paraId="779CA4B3" w14:textId="5CC238F6" w:rsidR="002026A9" w:rsidRPr="002026A9" w:rsidRDefault="002026A9" w:rsidP="002026A9">
            <w:pPr>
              <w:spacing w:line="276" w:lineRule="auto"/>
              <w:jc w:val="both"/>
              <w:rPr>
                <w:lang w:val="en-GB"/>
              </w:rPr>
            </w:pPr>
            <w:r w:rsidRPr="002026A9">
              <w:rPr>
                <w:rFonts w:ascii="Cambria" w:eastAsia="Cambria" w:hAnsi="Cambria" w:cs="Cambria"/>
                <w:lang w:val="en-GB"/>
              </w:rPr>
              <w:t>It is also recommended to broaden the focus of student education processes beyond the local labour market to enhance student diversity and expand opportunities for students on a national and international scale.</w:t>
            </w:r>
          </w:p>
        </w:tc>
      </w:tr>
    </w:tbl>
    <w:p w14:paraId="47F3EAA2" w14:textId="737D1FC4" w:rsidR="00677F9A" w:rsidRPr="002026A9" w:rsidRDefault="00BB1255" w:rsidP="008F64DA">
      <w:pPr>
        <w:spacing w:line="276" w:lineRule="auto"/>
        <w:rPr>
          <w:rFonts w:ascii="Cambria" w:hAnsi="Cambria"/>
          <w:b/>
          <w:bCs/>
          <w:caps/>
          <w:color w:val="136C73"/>
          <w:sz w:val="36"/>
          <w:szCs w:val="26"/>
          <w:lang w:val="en-GB" w:eastAsia="lt-LT"/>
        </w:rPr>
      </w:pPr>
      <w:r w:rsidRPr="002026A9">
        <w:rPr>
          <w:rFonts w:ascii="Cambria" w:hAnsi="Cambria"/>
          <w:b/>
          <w:bCs/>
          <w:caps/>
          <w:color w:val="136C73"/>
          <w:sz w:val="36"/>
          <w:szCs w:val="26"/>
          <w:lang w:val="en-GB" w:eastAsia="lt-LT"/>
        </w:rPr>
        <w:br w:type="page"/>
      </w:r>
    </w:p>
    <w:p w14:paraId="4068ECD2" w14:textId="77777777" w:rsidR="00677F9A" w:rsidRPr="002026A9" w:rsidRDefault="00677F9A" w:rsidP="002026A9">
      <w:pPr>
        <w:keepNext/>
        <w:keepLines/>
        <w:tabs>
          <w:tab w:val="left" w:pos="680"/>
        </w:tabs>
        <w:spacing w:line="276" w:lineRule="auto"/>
        <w:ind w:left="360"/>
        <w:jc w:val="center"/>
        <w:outlineLvl w:val="1"/>
        <w:rPr>
          <w:rFonts w:ascii="Cambria" w:hAnsi="Cambria"/>
          <w:b/>
          <w:bCs/>
          <w:caps/>
          <w:color w:val="136C73"/>
          <w:sz w:val="28"/>
          <w:szCs w:val="28"/>
          <w:lang w:val="en-GB" w:eastAsia="lt-LT"/>
        </w:rPr>
      </w:pPr>
      <w:r w:rsidRPr="002026A9">
        <w:rPr>
          <w:rFonts w:ascii="Cambria" w:hAnsi="Cambria"/>
          <w:b/>
          <w:bCs/>
          <w:caps/>
          <w:color w:val="136C73"/>
          <w:sz w:val="28"/>
          <w:szCs w:val="28"/>
          <w:lang w:val="en-GB" w:eastAsia="lt-LT"/>
        </w:rPr>
        <w:lastRenderedPageBreak/>
        <w:t>VI. SUMMARY</w:t>
      </w:r>
      <w:bookmarkEnd w:id="4"/>
    </w:p>
    <w:p w14:paraId="14521D57" w14:textId="77777777" w:rsidR="00677F9A" w:rsidRPr="002026A9" w:rsidRDefault="00677F9A" w:rsidP="002026A9">
      <w:pPr>
        <w:spacing w:line="276" w:lineRule="auto"/>
        <w:rPr>
          <w:rFonts w:ascii="Cambria" w:eastAsia="Calibri" w:hAnsi="Cambria"/>
          <w:szCs w:val="22"/>
          <w:highlight w:val="lightGray"/>
          <w:lang w:val="en-GB" w:eastAsia="lt-LT"/>
        </w:rPr>
      </w:pPr>
    </w:p>
    <w:p w14:paraId="3785C0E6"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 management study field at Šiaulių valstybinė kolegija exhibits several positive aspects noted by the expert panel. These include a long history of cooperation with social partners and employers, evidence of research integration into teaching, good quality study curricula, positive trends in research outcomes (despite some concerns about research quality), student integration in applied research, accessible information and support for students, flexibility for students with other commitments, a well-established culture of international faculty mobility, a high proportion of faculty members with advanced qualifications, suitable premises and equipment, good communication between students and lecturers, and the College's adaptability in delivering education in different languages, benefiting various international backgrounds and the EU labour market. Additionally, the Product and Logistics Management programme is highlighted as producing qualified and in-demand graduates due to close collaboration with the regional market.</w:t>
      </w:r>
    </w:p>
    <w:p w14:paraId="214609D4" w14:textId="77777777" w:rsidR="002026A9" w:rsidRPr="002026A9" w:rsidRDefault="002026A9" w:rsidP="002026A9">
      <w:pPr>
        <w:spacing w:line="276" w:lineRule="auto"/>
        <w:jc w:val="both"/>
        <w:rPr>
          <w:rFonts w:ascii="Cambria" w:eastAsia="Cambria" w:hAnsi="Cambria" w:cs="Cambria"/>
          <w:lang w:val="en-GB"/>
        </w:rPr>
      </w:pPr>
    </w:p>
    <w:p w14:paraId="16F3CE6E"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However, to further enhance its educational quality and international competitiveness, the College should consider the following recommendations:</w:t>
      </w:r>
    </w:p>
    <w:p w14:paraId="2242FF38" w14:textId="77777777" w:rsidR="002026A9" w:rsidRPr="002026A9" w:rsidRDefault="002026A9" w:rsidP="002026A9">
      <w:pPr>
        <w:spacing w:line="276" w:lineRule="auto"/>
        <w:jc w:val="both"/>
        <w:rPr>
          <w:rFonts w:ascii="Cambria" w:eastAsia="Cambria" w:hAnsi="Cambria" w:cs="Cambria"/>
          <w:lang w:val="en-GB"/>
        </w:rPr>
      </w:pPr>
    </w:p>
    <w:p w14:paraId="7F45D617"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The expert panel identified potential grade inflation and recommends implementing a grading policy to address this issue. There is a demand for a wider choice of study subjects, particularly in areas of the latest management technology innovations, and the panel suggests considering the addition of new specialist electives. The duplication of content in the Office Management programme should be investigated.</w:t>
      </w:r>
    </w:p>
    <w:p w14:paraId="35332CE3" w14:textId="77777777" w:rsidR="002026A9" w:rsidRPr="002026A9" w:rsidRDefault="002026A9" w:rsidP="002026A9">
      <w:pPr>
        <w:spacing w:line="276" w:lineRule="auto"/>
        <w:jc w:val="both"/>
        <w:rPr>
          <w:rFonts w:ascii="Cambria" w:eastAsia="Cambria" w:hAnsi="Cambria" w:cs="Cambria"/>
          <w:lang w:val="en-GB"/>
        </w:rPr>
      </w:pPr>
    </w:p>
    <w:p w14:paraId="074DD61D"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SVK’s dissemination strategy for research publications and presentations should be more systematic, and a dedicated research policy with ambitious targets and incentives for researchers is recommended. The institution should shift its focus from technological innovation to also emphasise social innovation. The role of the Head of ITC should be discussed and potentially redefined. The Student Scientific Society needs to be reactivated. The institution should balance technological and social innovation, and improve the link between science and studies.</w:t>
      </w:r>
    </w:p>
    <w:p w14:paraId="501BBB40" w14:textId="77777777" w:rsidR="002026A9" w:rsidRPr="002026A9" w:rsidRDefault="002026A9" w:rsidP="002026A9">
      <w:pPr>
        <w:spacing w:line="276" w:lineRule="auto"/>
        <w:jc w:val="both"/>
        <w:rPr>
          <w:rFonts w:ascii="Cambria" w:eastAsia="Cambria" w:hAnsi="Cambria" w:cs="Cambria"/>
          <w:lang w:val="en-GB"/>
        </w:rPr>
      </w:pPr>
    </w:p>
    <w:p w14:paraId="52EB603D"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It is recommended to enhance student mobility opportunities, implement a systematic feedback process for student suggestions, expand the network of social partners, and translate international faculty mobility experiences into more foreign-language teaching offers. Consideration of neighbouring Latvia as an international partner is suggested.</w:t>
      </w:r>
    </w:p>
    <w:p w14:paraId="2AD7E3C5" w14:textId="77777777" w:rsidR="002026A9" w:rsidRPr="002026A9" w:rsidRDefault="002026A9" w:rsidP="002026A9">
      <w:pPr>
        <w:spacing w:line="276" w:lineRule="auto"/>
        <w:jc w:val="both"/>
        <w:rPr>
          <w:rFonts w:ascii="Cambria" w:eastAsia="Cambria" w:hAnsi="Cambria" w:cs="Cambria"/>
          <w:lang w:val="en-GB"/>
        </w:rPr>
      </w:pPr>
    </w:p>
    <w:p w14:paraId="3749CDB7"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SVK's local facilities, homepage, and internal platforms should be made more user-friendly for international users. The involvement of international stakeholders is essential, and leveraging alumni expertise through proactive communication is recommended. Finally, broadening the focus of student education processes beyond the local labour market to enhance diversity and opportunities on a national and international level is advised.</w:t>
      </w:r>
    </w:p>
    <w:p w14:paraId="2565B475" w14:textId="77777777" w:rsidR="002026A9" w:rsidRPr="002026A9" w:rsidRDefault="002026A9" w:rsidP="002026A9">
      <w:pPr>
        <w:spacing w:line="276" w:lineRule="auto"/>
        <w:jc w:val="both"/>
        <w:rPr>
          <w:rFonts w:ascii="Cambria" w:eastAsia="Cambria" w:hAnsi="Cambria" w:cs="Cambria"/>
          <w:lang w:val="en-GB"/>
        </w:rPr>
      </w:pPr>
    </w:p>
    <w:p w14:paraId="49C8B136" w14:textId="77777777" w:rsidR="002026A9" w:rsidRPr="002026A9" w:rsidRDefault="002026A9" w:rsidP="002026A9">
      <w:pPr>
        <w:spacing w:line="276" w:lineRule="auto"/>
        <w:jc w:val="both"/>
        <w:rPr>
          <w:rFonts w:ascii="Cambria" w:eastAsia="Cambria" w:hAnsi="Cambria" w:cs="Cambria"/>
          <w:lang w:val="en-GB"/>
        </w:rPr>
      </w:pPr>
      <w:r w:rsidRPr="002026A9">
        <w:rPr>
          <w:rFonts w:ascii="Cambria" w:eastAsia="Cambria" w:hAnsi="Cambria" w:cs="Cambria"/>
          <w:lang w:val="en-GB"/>
        </w:rPr>
        <w:t xml:space="preserve">The College is mostly operating in the local market and, therefore, could increase its activity on the international market through scientific and research cooperation, participation in international scientific conferences and building mutual relations. It is worth permanently </w:t>
      </w:r>
      <w:r w:rsidRPr="002026A9">
        <w:rPr>
          <w:rFonts w:ascii="Cambria" w:eastAsia="Cambria" w:hAnsi="Cambria" w:cs="Cambria"/>
          <w:lang w:val="en-GB"/>
        </w:rPr>
        <w:lastRenderedPageBreak/>
        <w:t>expanding the areas of international communication, which will strongly strengthen the educational potential of the College as well as its competitiveness.</w:t>
      </w:r>
    </w:p>
    <w:p w14:paraId="6AC50F82" w14:textId="7ADD5E3B" w:rsidR="009B1A04" w:rsidRPr="005B13E0" w:rsidRDefault="00BB1255" w:rsidP="00960097">
      <w:pPr>
        <w:jc w:val="both"/>
        <w:rPr>
          <w:rFonts w:ascii="Cambria" w:eastAsia="Cambria" w:hAnsi="Cambria" w:cs="Cambria"/>
          <w:lang w:val="en-GB"/>
        </w:rPr>
      </w:pPr>
      <w:r w:rsidRPr="005B13E0">
        <w:rPr>
          <w:lang w:val="en-GB"/>
        </w:rPr>
        <w:br w:type="page"/>
      </w:r>
    </w:p>
    <w:p w14:paraId="24F0DF12" w14:textId="77777777" w:rsidR="0042467A" w:rsidRPr="00C5787E" w:rsidRDefault="0042467A" w:rsidP="008F64DA">
      <w:pPr>
        <w:spacing w:line="276" w:lineRule="auto"/>
        <w:jc w:val="right"/>
      </w:pPr>
      <w:r w:rsidRPr="00C5787E">
        <w:rPr>
          <w:b/>
        </w:rPr>
        <w:lastRenderedPageBreak/>
        <w:t>Vertimas iš anglų kalbos</w:t>
      </w:r>
    </w:p>
    <w:p w14:paraId="47AA7E4B" w14:textId="77777777" w:rsidR="0042467A" w:rsidRPr="00C5787E" w:rsidRDefault="0042467A" w:rsidP="008F64DA">
      <w:pPr>
        <w:spacing w:line="276" w:lineRule="auto"/>
        <w:jc w:val="center"/>
        <w:rPr>
          <w:b/>
          <w:caps/>
        </w:rPr>
      </w:pPr>
    </w:p>
    <w:p w14:paraId="43A5B25C" w14:textId="77777777" w:rsidR="00D521A3" w:rsidRDefault="002026A9" w:rsidP="008F64DA">
      <w:pPr>
        <w:spacing w:line="276" w:lineRule="auto"/>
        <w:jc w:val="center"/>
        <w:rPr>
          <w:b/>
          <w:caps/>
        </w:rPr>
      </w:pPr>
      <w:r>
        <w:rPr>
          <w:b/>
          <w:caps/>
        </w:rPr>
        <w:t>ŠIAULIŲ VALSTYBINĖS</w:t>
      </w:r>
      <w:r w:rsidR="00960097">
        <w:rPr>
          <w:b/>
          <w:caps/>
        </w:rPr>
        <w:t xml:space="preserve"> KOLEGIJOS VADYBOS </w:t>
      </w:r>
      <w:r w:rsidR="00677F9A">
        <w:rPr>
          <w:b/>
          <w:caps/>
        </w:rPr>
        <w:t>krypties</w:t>
      </w:r>
      <w:r w:rsidR="0042467A" w:rsidRPr="00C5787E">
        <w:rPr>
          <w:b/>
          <w:caps/>
        </w:rPr>
        <w:t xml:space="preserve"> studijų</w:t>
      </w:r>
      <w:r w:rsidR="00960097">
        <w:rPr>
          <w:b/>
          <w:caps/>
        </w:rPr>
        <w:t xml:space="preserve"> </w:t>
      </w:r>
    </w:p>
    <w:p w14:paraId="72BBEB65" w14:textId="57538A84" w:rsidR="0042467A" w:rsidRPr="00C5787E" w:rsidRDefault="00960097" w:rsidP="008F64DA">
      <w:pPr>
        <w:spacing w:line="276" w:lineRule="auto"/>
        <w:jc w:val="center"/>
        <w:rPr>
          <w:b/>
          <w:caps/>
        </w:rPr>
      </w:pPr>
      <w:r>
        <w:rPr>
          <w:b/>
          <w:caps/>
          <w:lang w:val="en-US"/>
        </w:rPr>
        <w:t xml:space="preserve">2023 </w:t>
      </w:r>
      <w:r w:rsidR="00D521A3">
        <w:rPr>
          <w:b/>
          <w:caps/>
          <w:lang w:val="en-US"/>
        </w:rPr>
        <w:t xml:space="preserve">m. </w:t>
      </w:r>
      <w:r>
        <w:rPr>
          <w:b/>
          <w:caps/>
          <w:lang w:val="en-US"/>
        </w:rPr>
        <w:t>spalio 27 d.</w:t>
      </w:r>
      <w:r w:rsidR="005B13E0">
        <w:rPr>
          <w:b/>
          <w:caps/>
        </w:rPr>
        <w:t xml:space="preserve"> </w:t>
      </w:r>
      <w:r w:rsidR="0042467A" w:rsidRPr="00C5787E">
        <w:rPr>
          <w:b/>
          <w:caps/>
        </w:rPr>
        <w:t xml:space="preserve">ekspertinio vertinimo išvadų NR. </w:t>
      </w:r>
      <w:r w:rsidR="00BB1255" w:rsidRPr="00D4773F">
        <w:rPr>
          <w:b/>
        </w:rPr>
        <w:t>SV4-</w:t>
      </w:r>
      <w:r w:rsidRPr="00D4773F">
        <w:rPr>
          <w:b/>
        </w:rPr>
        <w:t>8</w:t>
      </w:r>
      <w:r w:rsidR="002026A9">
        <w:rPr>
          <w:b/>
          <w:lang w:val="en-US"/>
        </w:rPr>
        <w:t>2</w:t>
      </w:r>
      <w:r w:rsidR="00677F9A">
        <w:rPr>
          <w:b/>
        </w:rPr>
        <w:t xml:space="preserve"> </w:t>
      </w:r>
      <w:r w:rsidR="0042467A" w:rsidRPr="00C5787E">
        <w:rPr>
          <w:b/>
          <w:caps/>
        </w:rPr>
        <w:t>IŠRAŠAS</w:t>
      </w:r>
    </w:p>
    <w:p w14:paraId="2E426DF7" w14:textId="77777777" w:rsidR="0042467A" w:rsidRPr="0042467A" w:rsidRDefault="0042467A" w:rsidP="008F64DA">
      <w:pPr>
        <w:spacing w:line="276" w:lineRule="auto"/>
        <w:rPr>
          <w:caps/>
          <w:sz w:val="16"/>
        </w:rPr>
      </w:pPr>
    </w:p>
    <w:p w14:paraId="45816257" w14:textId="77777777" w:rsidR="00677F9A" w:rsidRPr="00677F9A" w:rsidRDefault="00677F9A" w:rsidP="008F64DA">
      <w:pPr>
        <w:spacing w:line="276" w:lineRule="auto"/>
        <w:jc w:val="center"/>
        <w:rPr>
          <w:rFonts w:ascii="Cambria" w:eastAsia="Calibri" w:hAnsi="Cambria"/>
          <w:i/>
          <w:sz w:val="36"/>
          <w:szCs w:val="36"/>
          <w:lang w:eastAsia="lt-LT"/>
        </w:rPr>
      </w:pPr>
      <w:r w:rsidRPr="00677F9A">
        <w:rPr>
          <w:rFonts w:ascii="Calibri" w:eastAsia="Calibri" w:hAnsi="Calibri"/>
          <w:i/>
          <w:noProof/>
          <w:sz w:val="36"/>
          <w:szCs w:val="36"/>
          <w:lang w:val="en-US" w:eastAsia="en-US"/>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8F64DA">
      <w:pPr>
        <w:spacing w:line="276" w:lineRule="auto"/>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8F64DA">
      <w:pPr>
        <w:spacing w:line="276" w:lineRule="auto"/>
        <w:rPr>
          <w:rFonts w:ascii="Cambria" w:eastAsia="Calibri" w:hAnsi="Cambria"/>
          <w:color w:val="136C73"/>
          <w:szCs w:val="22"/>
          <w:lang w:eastAsia="lt-LT"/>
        </w:rPr>
      </w:pPr>
    </w:p>
    <w:p w14:paraId="6E3005B4" w14:textId="0E8E4D79" w:rsidR="00677F9A" w:rsidRPr="00677F9A" w:rsidRDefault="002026A9" w:rsidP="008F64DA">
      <w:pPr>
        <w:spacing w:line="360" w:lineRule="auto"/>
        <w:jc w:val="center"/>
        <w:rPr>
          <w:rFonts w:ascii="Cambria" w:eastAsia="Calibri" w:hAnsi="Cambria"/>
          <w:color w:val="136C73"/>
          <w:sz w:val="28"/>
          <w:szCs w:val="28"/>
          <w:lang w:eastAsia="lt-LT"/>
        </w:rPr>
      </w:pPr>
      <w:r>
        <w:rPr>
          <w:rFonts w:ascii="Cambria" w:eastAsia="Calibri" w:hAnsi="Cambria"/>
          <w:color w:val="136C73"/>
          <w:sz w:val="28"/>
          <w:szCs w:val="28"/>
          <w:lang w:eastAsia="lt-LT"/>
        </w:rPr>
        <w:t>Šiaulių valstybinė</w:t>
      </w:r>
      <w:r w:rsidR="00960097">
        <w:rPr>
          <w:rFonts w:ascii="Cambria" w:eastAsia="Calibri" w:hAnsi="Cambria"/>
          <w:color w:val="136C73"/>
          <w:sz w:val="28"/>
          <w:szCs w:val="28"/>
          <w:lang w:eastAsia="lt-LT"/>
        </w:rPr>
        <w:t xml:space="preserve"> kolegija</w:t>
      </w:r>
      <w:r w:rsidR="00677F9A" w:rsidRPr="00677F9A">
        <w:rPr>
          <w:rFonts w:ascii="Cambria" w:eastAsia="Calibri" w:hAnsi="Cambria"/>
          <w:color w:val="136C73"/>
          <w:sz w:val="28"/>
          <w:szCs w:val="28"/>
          <w:lang w:eastAsia="lt-LT"/>
        </w:rPr>
        <w:t xml:space="preserve"> (</w:t>
      </w:r>
      <w:r>
        <w:rPr>
          <w:rFonts w:ascii="Cambria" w:eastAsia="Calibri" w:hAnsi="Cambria"/>
          <w:color w:val="136C73"/>
          <w:sz w:val="28"/>
          <w:szCs w:val="28"/>
          <w:lang w:eastAsia="lt-LT"/>
        </w:rPr>
        <w:t>SVK</w:t>
      </w:r>
      <w:r w:rsidR="00677F9A" w:rsidRPr="00677F9A">
        <w:rPr>
          <w:rFonts w:ascii="Cambria" w:eastAsia="Calibri" w:hAnsi="Cambria"/>
          <w:color w:val="136C73"/>
          <w:sz w:val="28"/>
          <w:szCs w:val="28"/>
          <w:lang w:eastAsia="lt-LT"/>
        </w:rPr>
        <w:t>)</w:t>
      </w:r>
    </w:p>
    <w:p w14:paraId="268771B5" w14:textId="77777777" w:rsidR="00726FD0" w:rsidRDefault="00677F9A" w:rsidP="008F64DA">
      <w:pPr>
        <w:spacing w:line="360" w:lineRule="auto"/>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58797231" w:rsidR="00677F9A" w:rsidRPr="00677F9A" w:rsidRDefault="00960097" w:rsidP="008F64DA">
      <w:pPr>
        <w:spacing w:line="360" w:lineRule="auto"/>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VADYBA</w:t>
      </w:r>
    </w:p>
    <w:p w14:paraId="16B12140" w14:textId="77777777" w:rsidR="00677F9A" w:rsidRPr="00677F9A" w:rsidRDefault="00677F9A" w:rsidP="008F64DA">
      <w:pPr>
        <w:spacing w:line="360" w:lineRule="auto"/>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8F64DA">
      <w:pPr>
        <w:spacing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073B5F17" w14:textId="0BBB9FD8" w:rsidR="00960097" w:rsidRPr="00960097" w:rsidRDefault="00677F9A" w:rsidP="00960097">
            <w:pPr>
              <w:tabs>
                <w:tab w:val="left" w:pos="0"/>
              </w:tabs>
              <w:spacing w:line="360" w:lineRule="auto"/>
              <w:rPr>
                <w:rFonts w:ascii="Cambria" w:eastAsia="Calibri" w:hAnsi="Cambria"/>
                <w:b/>
                <w:color w:val="FFFFFF"/>
                <w:szCs w:val="22"/>
                <w:lang w:eastAsia="lt-LT"/>
              </w:rPr>
            </w:pPr>
            <w:r w:rsidRPr="00960097">
              <w:rPr>
                <w:rFonts w:ascii="Cambria" w:eastAsia="Calibri" w:hAnsi="Cambria"/>
                <w:b/>
                <w:color w:val="FFFFFF"/>
                <w:szCs w:val="22"/>
                <w:lang w:eastAsia="lt-LT"/>
              </w:rPr>
              <w:t>Ekspertų grupė:</w:t>
            </w:r>
          </w:p>
          <w:p w14:paraId="0D3E83BE" w14:textId="0A6B016C" w:rsidR="008F64DA"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 xml:space="preserve">Prof. Dr. Steffen Roth </w:t>
            </w:r>
            <w:r w:rsidR="00677F9A" w:rsidRPr="00960097">
              <w:rPr>
                <w:rFonts w:ascii="Cambria" w:eastAsia="Calibri" w:hAnsi="Cambria"/>
                <w:b/>
                <w:color w:val="FFFFFF"/>
                <w:szCs w:val="22"/>
                <w:lang w:val="lt-LT" w:eastAsia="lt-LT"/>
              </w:rPr>
              <w:t xml:space="preserve">(vadovas) </w:t>
            </w:r>
            <w:r w:rsidR="00677F9A" w:rsidRPr="00960097">
              <w:rPr>
                <w:rFonts w:ascii="Cambria" w:eastAsia="Calibri" w:hAnsi="Cambria"/>
                <w:i/>
                <w:color w:val="FFFFFF"/>
                <w:szCs w:val="22"/>
                <w:lang w:val="lt-LT" w:eastAsia="lt-LT"/>
              </w:rPr>
              <w:t>akademinės bendruomenės atstovas,</w:t>
            </w:r>
          </w:p>
          <w:p w14:paraId="25DD3F88" w14:textId="67B6DA10" w:rsidR="008F64DA"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Prof. Dr. Christian Schachtner</w:t>
            </w:r>
            <w:r w:rsidR="00677F9A" w:rsidRPr="00960097">
              <w:rPr>
                <w:rFonts w:ascii="Cambria" w:eastAsia="Calibri" w:hAnsi="Cambria"/>
                <w:b/>
                <w:color w:val="FFFFFF"/>
                <w:szCs w:val="22"/>
                <w:lang w:val="lt-LT" w:eastAsia="lt-LT"/>
              </w:rPr>
              <w:t>,</w:t>
            </w:r>
            <w:r w:rsidR="00677F9A" w:rsidRPr="00960097">
              <w:rPr>
                <w:rFonts w:ascii="Cambria" w:eastAsia="Calibri" w:hAnsi="Cambria"/>
                <w:i/>
                <w:color w:val="FFFFFF"/>
                <w:szCs w:val="22"/>
                <w:lang w:val="lt-LT" w:eastAsia="lt-LT"/>
              </w:rPr>
              <w:t xml:space="preserve"> akademinės bendruomenės atstovas,</w:t>
            </w:r>
          </w:p>
          <w:p w14:paraId="0B349B68" w14:textId="1988A1B4" w:rsidR="008F64DA"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Assoc. Prof. Dr. Adam Jabłoński</w:t>
            </w:r>
            <w:r w:rsidR="00677F9A" w:rsidRPr="00960097">
              <w:rPr>
                <w:rFonts w:ascii="Cambria" w:eastAsia="Calibri" w:hAnsi="Cambria"/>
                <w:b/>
                <w:color w:val="FFFFFF"/>
                <w:szCs w:val="22"/>
                <w:lang w:val="lt-LT" w:eastAsia="lt-LT"/>
              </w:rPr>
              <w:t>,</w:t>
            </w:r>
            <w:r w:rsidR="00677F9A" w:rsidRPr="00960097">
              <w:rPr>
                <w:rFonts w:ascii="Cambria" w:eastAsia="Calibri" w:hAnsi="Cambria"/>
                <w:i/>
                <w:color w:val="FFFFFF"/>
                <w:szCs w:val="22"/>
                <w:lang w:val="lt-LT" w:eastAsia="lt-LT"/>
              </w:rPr>
              <w:t xml:space="preserve"> akademinės bendruomenės atstovas,</w:t>
            </w:r>
          </w:p>
          <w:p w14:paraId="29B03C9A" w14:textId="3B7C530C" w:rsidR="00960097"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 xml:space="preserve">Assoc. Prof. Dmitrijs Kravčenko, </w:t>
            </w:r>
            <w:r w:rsidRPr="00960097">
              <w:rPr>
                <w:rFonts w:ascii="Cambria" w:eastAsia="Calibri" w:hAnsi="Cambria"/>
                <w:i/>
                <w:color w:val="FFFFFF"/>
                <w:szCs w:val="22"/>
                <w:lang w:val="lt-LT" w:eastAsia="lt-LT"/>
              </w:rPr>
              <w:t>akademinės bendruomenės atstovas,</w:t>
            </w:r>
          </w:p>
          <w:p w14:paraId="5782296E" w14:textId="73CF1B99" w:rsidR="008F64DA"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Prof. Dr. Tadas Gudaitis</w:t>
            </w:r>
            <w:r w:rsidR="00677F9A" w:rsidRPr="00960097">
              <w:rPr>
                <w:rFonts w:ascii="Cambria" w:eastAsia="Calibri" w:hAnsi="Cambria"/>
                <w:b/>
                <w:color w:val="FFFFFF"/>
                <w:szCs w:val="22"/>
                <w:lang w:val="lt-LT" w:eastAsia="lt-LT"/>
              </w:rPr>
              <w:t xml:space="preserve">, </w:t>
            </w:r>
            <w:r w:rsidR="00677F9A" w:rsidRPr="00960097">
              <w:rPr>
                <w:rFonts w:ascii="Cambria" w:eastAsia="Calibri" w:hAnsi="Cambria"/>
                <w:i/>
                <w:color w:val="FFFFFF"/>
                <w:szCs w:val="22"/>
                <w:lang w:val="lt-LT" w:eastAsia="lt-LT"/>
              </w:rPr>
              <w:t xml:space="preserve">darbdavių atstovas, </w:t>
            </w:r>
          </w:p>
          <w:p w14:paraId="5109D9D7" w14:textId="2942C22E" w:rsidR="00677F9A" w:rsidRPr="00960097" w:rsidRDefault="00960097" w:rsidP="00960097">
            <w:pPr>
              <w:pStyle w:val="Sraopastraipa"/>
              <w:numPr>
                <w:ilvl w:val="3"/>
                <w:numId w:val="5"/>
              </w:numPr>
              <w:tabs>
                <w:tab w:val="left" w:pos="0"/>
              </w:tabs>
              <w:ind w:left="471"/>
              <w:rPr>
                <w:rFonts w:ascii="Cambria" w:eastAsia="Calibri" w:hAnsi="Cambria"/>
                <w:b/>
                <w:color w:val="FFFFFF"/>
                <w:szCs w:val="22"/>
                <w:lang w:val="lt-LT" w:eastAsia="lt-LT"/>
              </w:rPr>
            </w:pPr>
            <w:r w:rsidRPr="00960097">
              <w:rPr>
                <w:rFonts w:ascii="Cambria" w:eastAsia="Calibri" w:hAnsi="Cambria"/>
                <w:b/>
                <w:color w:val="FFFFFF"/>
                <w:szCs w:val="22"/>
                <w:lang w:val="lt-LT" w:eastAsia="lt-LT"/>
              </w:rPr>
              <w:t>Ieva Porutytė</w:t>
            </w:r>
            <w:r w:rsidR="00677F9A" w:rsidRPr="00960097">
              <w:rPr>
                <w:rFonts w:ascii="Cambria" w:eastAsia="Calibri" w:hAnsi="Cambria"/>
                <w:b/>
                <w:color w:val="FFFFFF"/>
                <w:szCs w:val="22"/>
                <w:lang w:val="lt-LT" w:eastAsia="lt-LT"/>
              </w:rPr>
              <w:t xml:space="preserve">, </w:t>
            </w:r>
            <w:r w:rsidR="00677F9A" w:rsidRPr="00960097">
              <w:rPr>
                <w:rFonts w:ascii="Cambria" w:eastAsia="Calibri" w:hAnsi="Cambria"/>
                <w:i/>
                <w:color w:val="FFFFFF"/>
                <w:szCs w:val="22"/>
                <w:lang w:val="lt-LT" w:eastAsia="lt-LT"/>
              </w:rPr>
              <w:t>student</w:t>
            </w:r>
            <w:r w:rsidR="000D4EE3" w:rsidRPr="00960097">
              <w:rPr>
                <w:rFonts w:ascii="Cambria" w:eastAsia="Calibri" w:hAnsi="Cambria"/>
                <w:i/>
                <w:color w:val="FFFFFF"/>
                <w:szCs w:val="22"/>
                <w:lang w:val="lt-LT" w:eastAsia="lt-LT"/>
              </w:rPr>
              <w:t>ų</w:t>
            </w:r>
            <w:r w:rsidR="00677F9A" w:rsidRPr="00960097">
              <w:rPr>
                <w:rFonts w:ascii="Cambria" w:eastAsia="Calibri" w:hAnsi="Cambria"/>
                <w:i/>
                <w:color w:val="FFFFFF"/>
                <w:szCs w:val="22"/>
                <w:lang w:val="lt-LT" w:eastAsia="lt-LT"/>
              </w:rPr>
              <w:t xml:space="preserve"> atstov</w:t>
            </w:r>
            <w:r w:rsidRPr="00960097">
              <w:rPr>
                <w:rFonts w:ascii="Cambria" w:eastAsia="Calibri" w:hAnsi="Cambria"/>
                <w:i/>
                <w:color w:val="FFFFFF"/>
                <w:szCs w:val="22"/>
                <w:lang w:val="lt-LT" w:eastAsia="lt-LT"/>
              </w:rPr>
              <w:t>ė</w:t>
            </w:r>
            <w:r w:rsidR="00677F9A" w:rsidRPr="00960097">
              <w:rPr>
                <w:rFonts w:ascii="Cambria" w:eastAsia="Calibri" w:hAnsi="Cambria"/>
                <w:color w:val="FFFFFF"/>
                <w:szCs w:val="22"/>
                <w:lang w:val="lt-LT" w:eastAsia="lt-LT"/>
              </w:rPr>
              <w:t>.</w:t>
            </w:r>
          </w:p>
          <w:p w14:paraId="1BB45FC4" w14:textId="77777777" w:rsidR="00960097" w:rsidRPr="00960097" w:rsidRDefault="00960097" w:rsidP="00960097">
            <w:pPr>
              <w:tabs>
                <w:tab w:val="left" w:pos="0"/>
              </w:tabs>
              <w:spacing w:line="360" w:lineRule="auto"/>
              <w:rPr>
                <w:rFonts w:ascii="Cambria" w:eastAsia="Calibri" w:hAnsi="Cambria"/>
                <w:b/>
                <w:color w:val="FFFFFF"/>
                <w:szCs w:val="22"/>
                <w:lang w:eastAsia="lt-LT"/>
              </w:rPr>
            </w:pPr>
          </w:p>
          <w:p w14:paraId="2F5B3265" w14:textId="255DD4AB" w:rsidR="00677F9A" w:rsidRPr="002A5085" w:rsidRDefault="00677F9A" w:rsidP="00960097">
            <w:pPr>
              <w:tabs>
                <w:tab w:val="left" w:pos="0"/>
              </w:tabs>
              <w:spacing w:line="360" w:lineRule="auto"/>
              <w:rPr>
                <w:rFonts w:ascii="Cambria" w:eastAsia="Calibri" w:hAnsi="Cambria"/>
                <w:b/>
                <w:color w:val="FFFFFF"/>
                <w:szCs w:val="22"/>
                <w:lang w:eastAsia="lt-LT"/>
              </w:rPr>
            </w:pPr>
            <w:r w:rsidRPr="00960097">
              <w:rPr>
                <w:rFonts w:ascii="Cambria" w:eastAsia="Calibri" w:hAnsi="Cambria"/>
                <w:b/>
                <w:color w:val="FFFFFF"/>
                <w:szCs w:val="22"/>
                <w:lang w:eastAsia="lt-LT"/>
              </w:rPr>
              <w:t>Vertinimo koordinatorė</w:t>
            </w:r>
            <w:r w:rsidR="00960097" w:rsidRPr="00960097">
              <w:rPr>
                <w:rFonts w:ascii="Cambria" w:eastAsia="Calibri" w:hAnsi="Cambria"/>
                <w:b/>
                <w:color w:val="FFFFFF"/>
                <w:szCs w:val="22"/>
                <w:lang w:eastAsia="lt-LT"/>
              </w:rPr>
              <w:t xml:space="preserve"> </w:t>
            </w:r>
            <w:r w:rsidRPr="00960097">
              <w:rPr>
                <w:rFonts w:ascii="Cambria" w:eastAsia="Calibri" w:hAnsi="Cambria"/>
                <w:b/>
                <w:color w:val="FFFFFF"/>
                <w:szCs w:val="22"/>
                <w:lang w:eastAsia="lt-LT"/>
              </w:rPr>
              <w:t xml:space="preserve">- </w:t>
            </w:r>
            <w:r w:rsidR="00960097" w:rsidRPr="00960097">
              <w:rPr>
                <w:rFonts w:ascii="Cambria" w:eastAsia="Cambria" w:hAnsi="Cambria" w:cs="Cambria"/>
                <w:b/>
                <w:i/>
                <w:color w:val="FFFFFF"/>
              </w:rPr>
              <w:t>Austėja Pliupelytė</w:t>
            </w:r>
          </w:p>
        </w:tc>
      </w:tr>
    </w:tbl>
    <w:p w14:paraId="69412338" w14:textId="77777777" w:rsidR="00677F9A" w:rsidRPr="00677F9A" w:rsidRDefault="00677F9A" w:rsidP="008F64DA">
      <w:pPr>
        <w:spacing w:line="276" w:lineRule="auto"/>
        <w:rPr>
          <w:rFonts w:ascii="Calibri" w:eastAsia="Calibri" w:hAnsi="Calibri"/>
          <w:sz w:val="22"/>
          <w:szCs w:val="22"/>
          <w:lang w:eastAsia="lt-LT"/>
        </w:rPr>
      </w:pPr>
    </w:p>
    <w:p w14:paraId="02F10286" w14:textId="77777777" w:rsidR="000D4EE3" w:rsidRDefault="000D4EE3" w:rsidP="008F64DA">
      <w:pPr>
        <w:spacing w:line="276" w:lineRule="auto"/>
        <w:rPr>
          <w:rFonts w:ascii="Calibri" w:eastAsia="Calibri" w:hAnsi="Calibri"/>
          <w:sz w:val="22"/>
          <w:szCs w:val="22"/>
          <w:lang w:eastAsia="lt-LT"/>
        </w:rPr>
      </w:pPr>
    </w:p>
    <w:p w14:paraId="1AEDF395" w14:textId="0C01FA83" w:rsidR="000D4EE3" w:rsidRDefault="000D4EE3" w:rsidP="008F64DA">
      <w:pPr>
        <w:spacing w:line="276" w:lineRule="auto"/>
        <w:rPr>
          <w:rFonts w:asciiTheme="minorHAnsi" w:eastAsia="Calibri" w:hAnsiTheme="minorHAnsi" w:cstheme="minorHAnsi"/>
          <w:color w:val="136C73"/>
          <w:sz w:val="22"/>
          <w:szCs w:val="22"/>
        </w:rPr>
      </w:pPr>
    </w:p>
    <w:p w14:paraId="42F41BE7" w14:textId="77777777" w:rsidR="0043262A" w:rsidRPr="0060015D" w:rsidRDefault="0043262A" w:rsidP="008F64DA">
      <w:pPr>
        <w:spacing w:line="276" w:lineRule="auto"/>
        <w:rPr>
          <w:rFonts w:asciiTheme="minorHAnsi" w:eastAsia="Calibri" w:hAnsiTheme="minorHAnsi" w:cstheme="minorHAnsi"/>
          <w:color w:val="136C73"/>
          <w:sz w:val="22"/>
          <w:szCs w:val="22"/>
        </w:rPr>
      </w:pPr>
    </w:p>
    <w:p w14:paraId="35A64DDB" w14:textId="77777777" w:rsidR="00677F9A" w:rsidRPr="0060015D" w:rsidRDefault="00677F9A" w:rsidP="008F64DA">
      <w:pPr>
        <w:spacing w:line="276" w:lineRule="auto"/>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16CE6799" w:rsidR="00677F9A" w:rsidRPr="0060015D" w:rsidRDefault="00677F9A" w:rsidP="008F64DA">
      <w:pPr>
        <w:spacing w:line="276" w:lineRule="auto"/>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8F64DA">
      <w:pPr>
        <w:spacing w:line="276" w:lineRule="auto"/>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8F64DA">
            <w:pPr>
              <w:spacing w:line="276" w:lineRule="auto"/>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8F64DA">
            <w:pPr>
              <w:spacing w:line="276" w:lineRule="auto"/>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8F64DA">
      <w:pPr>
        <w:spacing w:line="276" w:lineRule="auto"/>
        <w:rPr>
          <w:caps/>
        </w:rPr>
      </w:pPr>
    </w:p>
    <w:p w14:paraId="233701EE" w14:textId="11521B80" w:rsidR="006D1CFD" w:rsidRDefault="006D1CFD" w:rsidP="008F64DA">
      <w:pPr>
        <w:spacing w:line="276" w:lineRule="auto"/>
        <w:rPr>
          <w:rFonts w:ascii="Cambria" w:eastAsia="Calibri" w:hAnsi="Cambria"/>
          <w:color w:val="136C73"/>
        </w:rPr>
      </w:pPr>
    </w:p>
    <w:p w14:paraId="15F5BE64" w14:textId="0F95C159" w:rsidR="00E90C75" w:rsidRDefault="00E90C75" w:rsidP="008F64DA">
      <w:pPr>
        <w:spacing w:line="276" w:lineRule="auto"/>
        <w:rPr>
          <w:rFonts w:ascii="Cambria" w:eastAsia="Calibri" w:hAnsi="Cambria"/>
          <w:color w:val="136C73"/>
        </w:rPr>
      </w:pPr>
    </w:p>
    <w:p w14:paraId="16D4F7ED" w14:textId="77777777" w:rsidR="00E90C75" w:rsidRDefault="00E90C75" w:rsidP="008F64DA">
      <w:pPr>
        <w:spacing w:line="276" w:lineRule="auto"/>
        <w:rPr>
          <w:rFonts w:ascii="Cambria" w:eastAsia="Calibri" w:hAnsi="Cambria"/>
          <w:color w:val="136C73"/>
        </w:rPr>
      </w:pPr>
    </w:p>
    <w:p w14:paraId="1051C19C" w14:textId="6FEA516C" w:rsidR="006D1CFD" w:rsidRPr="006D1CFD" w:rsidRDefault="006D1CFD" w:rsidP="008F64DA">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8F64DA">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8F64DA">
      <w:pPr>
        <w:spacing w:line="276" w:lineRule="auto"/>
        <w:rPr>
          <w:rFonts w:ascii="Cambria" w:eastAsia="Calibri" w:hAnsi="Cambria"/>
          <w:color w:val="136C73"/>
        </w:rPr>
      </w:pPr>
      <w:r>
        <w:rPr>
          <w:rFonts w:ascii="Cambria" w:eastAsia="Calibri" w:hAnsi="Cambria"/>
          <w:color w:val="136C73"/>
        </w:rPr>
        <w:br w:type="page"/>
      </w:r>
    </w:p>
    <w:p w14:paraId="7B294455" w14:textId="1195B32F" w:rsidR="0060015D" w:rsidRDefault="00677F9A" w:rsidP="008F64DA">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8F64DA">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149" w:type="pct"/>
        <w:tblLayout w:type="fixed"/>
        <w:tblLook w:val="04A0" w:firstRow="1" w:lastRow="0" w:firstColumn="1" w:lastColumn="0" w:noHBand="0" w:noVBand="1"/>
      </w:tblPr>
      <w:tblGrid>
        <w:gridCol w:w="4043"/>
        <w:gridCol w:w="3092"/>
        <w:gridCol w:w="2925"/>
      </w:tblGrid>
      <w:tr w:rsidR="0060015D" w:rsidRPr="0060015D" w14:paraId="5B5D4B36" w14:textId="77777777" w:rsidTr="00D521A3">
        <w:trPr>
          <w:trHeight w:val="510"/>
        </w:trPr>
        <w:tc>
          <w:tcPr>
            <w:tcW w:w="2009" w:type="pct"/>
            <w:shd w:val="clear" w:color="136C73" w:fill="EEECE1" w:themeFill="background2"/>
            <w:vAlign w:val="center"/>
          </w:tcPr>
          <w:p w14:paraId="792F5C8C" w14:textId="77777777" w:rsidR="0060015D" w:rsidRPr="0060015D" w:rsidRDefault="0060015D" w:rsidP="008F64DA">
            <w:pPr>
              <w:rPr>
                <w:rFonts w:asciiTheme="majorHAnsi" w:hAnsiTheme="majorHAnsi"/>
                <w:color w:val="136C73"/>
              </w:rPr>
            </w:pPr>
            <w:r w:rsidRPr="0060015D">
              <w:rPr>
                <w:rFonts w:asciiTheme="majorHAnsi" w:eastAsia="MS Mincho" w:hAnsiTheme="majorHAnsi"/>
                <w:color w:val="136C73"/>
              </w:rPr>
              <w:t>Studijų programos pavadinimas</w:t>
            </w:r>
          </w:p>
        </w:tc>
        <w:tc>
          <w:tcPr>
            <w:tcW w:w="1537" w:type="pct"/>
            <w:shd w:val="clear" w:color="136C73" w:fill="FFFFFF" w:themeFill="background1"/>
            <w:vAlign w:val="center"/>
          </w:tcPr>
          <w:p w14:paraId="28FE67D0" w14:textId="66700EEC" w:rsidR="0060015D" w:rsidRPr="0069329A" w:rsidRDefault="002026A9" w:rsidP="008F64DA">
            <w:pPr>
              <w:rPr>
                <w:rFonts w:asciiTheme="majorHAnsi" w:hAnsiTheme="majorHAnsi"/>
                <w:b/>
                <w:i/>
              </w:rPr>
            </w:pPr>
            <w:r w:rsidRPr="002026A9">
              <w:rPr>
                <w:rFonts w:asciiTheme="majorHAnsi" w:hAnsiTheme="majorHAnsi"/>
                <w:b/>
                <w:i/>
              </w:rPr>
              <w:t>Įmonių ir įstaigų vadyba</w:t>
            </w:r>
          </w:p>
        </w:tc>
        <w:tc>
          <w:tcPr>
            <w:tcW w:w="1454" w:type="pct"/>
            <w:shd w:val="clear" w:color="136C73" w:fill="FFFFFF" w:themeFill="background1"/>
            <w:vAlign w:val="center"/>
          </w:tcPr>
          <w:p w14:paraId="42E16144" w14:textId="1F3AC14F" w:rsidR="0060015D" w:rsidRPr="0069329A" w:rsidRDefault="002026A9" w:rsidP="00FB19EC">
            <w:pPr>
              <w:rPr>
                <w:rFonts w:asciiTheme="majorHAnsi" w:hAnsiTheme="majorHAnsi"/>
                <w:b/>
                <w:i/>
              </w:rPr>
            </w:pPr>
            <w:r w:rsidRPr="002026A9">
              <w:rPr>
                <w:rFonts w:asciiTheme="majorHAnsi" w:hAnsiTheme="majorHAnsi"/>
                <w:b/>
                <w:i/>
              </w:rPr>
              <w:t>Gamybos ir logistikos vadyba</w:t>
            </w:r>
          </w:p>
        </w:tc>
      </w:tr>
      <w:tr w:rsidR="00D4773F" w:rsidRPr="0060015D" w14:paraId="42EDDD42" w14:textId="77777777" w:rsidTr="00D521A3">
        <w:trPr>
          <w:trHeight w:val="510"/>
        </w:trPr>
        <w:tc>
          <w:tcPr>
            <w:tcW w:w="2009" w:type="pct"/>
            <w:shd w:val="clear" w:color="auto" w:fill="EEECE1" w:themeFill="background2"/>
            <w:vAlign w:val="center"/>
          </w:tcPr>
          <w:p w14:paraId="251B4AD5"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Valstybinis kodas</w:t>
            </w:r>
          </w:p>
        </w:tc>
        <w:tc>
          <w:tcPr>
            <w:tcW w:w="1537" w:type="pct"/>
            <w:vAlign w:val="center"/>
          </w:tcPr>
          <w:p w14:paraId="23129CA8" w14:textId="0C12CC18" w:rsidR="00D4773F" w:rsidRPr="00962EF2" w:rsidRDefault="002026A9" w:rsidP="00D4773F">
            <w:pPr>
              <w:rPr>
                <w:rStyle w:val="fontstyle01"/>
                <w:rFonts w:asciiTheme="majorHAnsi" w:hAnsiTheme="majorHAnsi"/>
                <w:bCs/>
              </w:rPr>
            </w:pPr>
            <w:r w:rsidRPr="002026A9">
              <w:rPr>
                <w:rFonts w:asciiTheme="majorHAnsi" w:eastAsia="Cambria" w:hAnsiTheme="majorHAnsi" w:cs="Cambria"/>
                <w:lang w:val="en-GB"/>
              </w:rPr>
              <w:t>6531LX081</w:t>
            </w:r>
          </w:p>
        </w:tc>
        <w:tc>
          <w:tcPr>
            <w:tcW w:w="1454" w:type="pct"/>
            <w:vAlign w:val="center"/>
          </w:tcPr>
          <w:p w14:paraId="1C109341" w14:textId="44E97B2E" w:rsidR="00D4773F" w:rsidRPr="00962EF2" w:rsidRDefault="002026A9" w:rsidP="00D4773F">
            <w:pPr>
              <w:rPr>
                <w:rFonts w:asciiTheme="majorHAnsi" w:hAnsiTheme="majorHAnsi"/>
                <w:bCs/>
              </w:rPr>
            </w:pPr>
            <w:r w:rsidRPr="002026A9">
              <w:rPr>
                <w:rFonts w:asciiTheme="majorHAnsi" w:eastAsia="Cambria" w:hAnsiTheme="majorHAnsi" w:cs="Cambria"/>
                <w:lang w:val="en-GB"/>
              </w:rPr>
              <w:t>6531LX095</w:t>
            </w:r>
          </w:p>
        </w:tc>
      </w:tr>
      <w:tr w:rsidR="00D4773F" w:rsidRPr="0060015D" w14:paraId="762D06EF" w14:textId="77777777" w:rsidTr="00D521A3">
        <w:trPr>
          <w:trHeight w:val="510"/>
        </w:trPr>
        <w:tc>
          <w:tcPr>
            <w:tcW w:w="2009" w:type="pct"/>
            <w:shd w:val="clear" w:color="auto" w:fill="EEECE1" w:themeFill="background2"/>
            <w:vAlign w:val="center"/>
          </w:tcPr>
          <w:p w14:paraId="3A4E131B"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537" w:type="pct"/>
            <w:vAlign w:val="center"/>
          </w:tcPr>
          <w:p w14:paraId="603FBC63" w14:textId="77CCCB86" w:rsidR="00D4773F" w:rsidRPr="00962EF2" w:rsidRDefault="00D4773F" w:rsidP="00D4773F">
            <w:pPr>
              <w:rPr>
                <w:rFonts w:asciiTheme="majorHAnsi" w:hAnsiTheme="majorHAnsi"/>
                <w:bCs/>
              </w:rPr>
            </w:pPr>
            <w:r>
              <w:rPr>
                <w:rFonts w:asciiTheme="majorHAnsi" w:hAnsiTheme="majorHAnsi"/>
                <w:bCs/>
              </w:rPr>
              <w:t>Koleginės studijos</w:t>
            </w:r>
          </w:p>
        </w:tc>
        <w:tc>
          <w:tcPr>
            <w:tcW w:w="1454" w:type="pct"/>
            <w:vAlign w:val="center"/>
          </w:tcPr>
          <w:p w14:paraId="082B0A0B" w14:textId="15B89825" w:rsidR="00D4773F" w:rsidRPr="00962EF2" w:rsidRDefault="00D4773F" w:rsidP="00D4773F">
            <w:pPr>
              <w:rPr>
                <w:rFonts w:asciiTheme="majorHAnsi" w:hAnsiTheme="majorHAnsi"/>
                <w:bCs/>
              </w:rPr>
            </w:pPr>
            <w:r>
              <w:rPr>
                <w:rFonts w:asciiTheme="majorHAnsi" w:hAnsiTheme="majorHAnsi"/>
                <w:bCs/>
              </w:rPr>
              <w:t>Koleginės studijos</w:t>
            </w:r>
          </w:p>
        </w:tc>
      </w:tr>
      <w:tr w:rsidR="00D4773F" w:rsidRPr="0060015D" w14:paraId="1C426CD5" w14:textId="77777777" w:rsidTr="00D521A3">
        <w:trPr>
          <w:trHeight w:val="510"/>
        </w:trPr>
        <w:tc>
          <w:tcPr>
            <w:tcW w:w="2009" w:type="pct"/>
            <w:shd w:val="clear" w:color="auto" w:fill="EEECE1" w:themeFill="background2"/>
            <w:vAlign w:val="center"/>
          </w:tcPr>
          <w:p w14:paraId="386FEED8"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Studijų pakopa</w:t>
            </w:r>
          </w:p>
        </w:tc>
        <w:tc>
          <w:tcPr>
            <w:tcW w:w="1537" w:type="pct"/>
            <w:vAlign w:val="center"/>
          </w:tcPr>
          <w:p w14:paraId="392A9D3A" w14:textId="510C0B05" w:rsidR="00D4773F" w:rsidRPr="00962EF2" w:rsidRDefault="00D4773F" w:rsidP="00D4773F">
            <w:pPr>
              <w:rPr>
                <w:rFonts w:asciiTheme="majorHAnsi" w:hAnsiTheme="majorHAnsi"/>
                <w:bCs/>
              </w:rPr>
            </w:pPr>
            <w:r>
              <w:rPr>
                <w:rFonts w:asciiTheme="majorHAnsi" w:hAnsiTheme="majorHAnsi"/>
                <w:bCs/>
              </w:rPr>
              <w:t>Pirmoji</w:t>
            </w:r>
          </w:p>
        </w:tc>
        <w:tc>
          <w:tcPr>
            <w:tcW w:w="1454" w:type="pct"/>
            <w:vAlign w:val="center"/>
          </w:tcPr>
          <w:p w14:paraId="32DE7BDC" w14:textId="7368092D" w:rsidR="00D4773F" w:rsidRPr="00962EF2" w:rsidRDefault="00D4773F" w:rsidP="00D4773F">
            <w:pPr>
              <w:rPr>
                <w:rFonts w:asciiTheme="majorHAnsi" w:hAnsiTheme="majorHAnsi"/>
                <w:bCs/>
              </w:rPr>
            </w:pPr>
            <w:r>
              <w:rPr>
                <w:rFonts w:asciiTheme="majorHAnsi" w:hAnsiTheme="majorHAnsi"/>
                <w:bCs/>
              </w:rPr>
              <w:t>Pirmoji</w:t>
            </w:r>
          </w:p>
        </w:tc>
      </w:tr>
      <w:tr w:rsidR="00D4773F" w:rsidRPr="0060015D" w14:paraId="532E1ABE" w14:textId="77777777" w:rsidTr="00D521A3">
        <w:trPr>
          <w:trHeight w:val="510"/>
        </w:trPr>
        <w:tc>
          <w:tcPr>
            <w:tcW w:w="2009" w:type="pct"/>
            <w:shd w:val="clear" w:color="auto" w:fill="EEECE1" w:themeFill="background2"/>
            <w:vAlign w:val="center"/>
          </w:tcPr>
          <w:p w14:paraId="3B55ECEA"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537" w:type="pct"/>
            <w:vAlign w:val="center"/>
          </w:tcPr>
          <w:p w14:paraId="06D48EBF" w14:textId="77777777" w:rsidR="00D4773F" w:rsidRDefault="00D4773F" w:rsidP="00D4773F">
            <w:pPr>
              <w:rPr>
                <w:rFonts w:asciiTheme="majorHAnsi" w:hAnsiTheme="majorHAnsi"/>
                <w:bCs/>
              </w:rPr>
            </w:pPr>
            <w:r w:rsidRPr="00D4773F">
              <w:rPr>
                <w:rFonts w:asciiTheme="majorHAnsi" w:hAnsiTheme="majorHAnsi"/>
                <w:bCs/>
              </w:rPr>
              <w:t>Nuolatinė (3 metai)</w:t>
            </w:r>
          </w:p>
          <w:p w14:paraId="6A6E9610" w14:textId="2374F334" w:rsidR="002026A9" w:rsidRPr="0005578B" w:rsidRDefault="002026A9" w:rsidP="00D4773F">
            <w:pPr>
              <w:rPr>
                <w:rFonts w:asciiTheme="majorHAnsi" w:hAnsiTheme="majorHAnsi"/>
                <w:bCs/>
              </w:rPr>
            </w:pPr>
            <w:r w:rsidRPr="00D4773F">
              <w:rPr>
                <w:rFonts w:asciiTheme="majorHAnsi" w:hAnsiTheme="majorHAnsi"/>
                <w:bCs/>
              </w:rPr>
              <w:t>Ištęstinė (4 metai)</w:t>
            </w:r>
          </w:p>
        </w:tc>
        <w:tc>
          <w:tcPr>
            <w:tcW w:w="1454" w:type="pct"/>
            <w:vAlign w:val="center"/>
          </w:tcPr>
          <w:p w14:paraId="3586A67C" w14:textId="77777777" w:rsidR="00D4773F" w:rsidRPr="00D4773F" w:rsidRDefault="00D4773F" w:rsidP="00D4773F">
            <w:pPr>
              <w:rPr>
                <w:rFonts w:asciiTheme="majorHAnsi" w:hAnsiTheme="majorHAnsi"/>
                <w:bCs/>
              </w:rPr>
            </w:pPr>
            <w:r w:rsidRPr="00D4773F">
              <w:rPr>
                <w:rFonts w:asciiTheme="majorHAnsi" w:hAnsiTheme="majorHAnsi"/>
                <w:bCs/>
              </w:rPr>
              <w:t>Nuolatinė (3 metai)</w:t>
            </w:r>
          </w:p>
          <w:p w14:paraId="2F7FC179" w14:textId="09ADC55B" w:rsidR="00D4773F" w:rsidRPr="00962EF2" w:rsidRDefault="00D4773F" w:rsidP="00D4773F">
            <w:pPr>
              <w:rPr>
                <w:rFonts w:asciiTheme="majorHAnsi" w:hAnsiTheme="majorHAnsi"/>
                <w:bCs/>
              </w:rPr>
            </w:pPr>
            <w:r w:rsidRPr="00D4773F">
              <w:rPr>
                <w:rFonts w:asciiTheme="majorHAnsi" w:hAnsiTheme="majorHAnsi"/>
                <w:bCs/>
              </w:rPr>
              <w:t>Ištęstinė (4 metai)</w:t>
            </w:r>
          </w:p>
        </w:tc>
      </w:tr>
      <w:tr w:rsidR="00D4773F" w:rsidRPr="0060015D" w14:paraId="60C680D6" w14:textId="77777777" w:rsidTr="00D521A3">
        <w:trPr>
          <w:trHeight w:val="510"/>
        </w:trPr>
        <w:tc>
          <w:tcPr>
            <w:tcW w:w="2009" w:type="pct"/>
            <w:shd w:val="clear" w:color="auto" w:fill="EEECE1" w:themeFill="background2"/>
            <w:vAlign w:val="center"/>
          </w:tcPr>
          <w:p w14:paraId="2AC4D86C"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537" w:type="pct"/>
            <w:vAlign w:val="center"/>
          </w:tcPr>
          <w:p w14:paraId="5CAF6234" w14:textId="70223CA4" w:rsidR="00D4773F" w:rsidRPr="00962EF2" w:rsidRDefault="00D4773F" w:rsidP="00D4773F">
            <w:pPr>
              <w:rPr>
                <w:rFonts w:asciiTheme="majorHAnsi" w:hAnsiTheme="majorHAnsi"/>
                <w:bCs/>
              </w:rPr>
            </w:pPr>
            <w:r>
              <w:rPr>
                <w:rFonts w:asciiTheme="majorHAnsi" w:hAnsiTheme="majorHAnsi"/>
                <w:bCs/>
              </w:rPr>
              <w:t>180</w:t>
            </w:r>
          </w:p>
        </w:tc>
        <w:tc>
          <w:tcPr>
            <w:tcW w:w="1454" w:type="pct"/>
            <w:vAlign w:val="center"/>
          </w:tcPr>
          <w:p w14:paraId="4F573CDB" w14:textId="2109CAD2" w:rsidR="00D4773F" w:rsidRPr="00962EF2" w:rsidRDefault="00D4773F" w:rsidP="00D4773F">
            <w:pPr>
              <w:rPr>
                <w:rFonts w:asciiTheme="majorHAnsi" w:hAnsiTheme="majorHAnsi"/>
                <w:bCs/>
              </w:rPr>
            </w:pPr>
            <w:r>
              <w:rPr>
                <w:rFonts w:asciiTheme="majorHAnsi" w:hAnsiTheme="majorHAnsi"/>
                <w:bCs/>
              </w:rPr>
              <w:t>180</w:t>
            </w:r>
          </w:p>
        </w:tc>
      </w:tr>
      <w:tr w:rsidR="00D4773F" w:rsidRPr="0060015D" w14:paraId="6F4FD376" w14:textId="77777777" w:rsidTr="00D521A3">
        <w:trPr>
          <w:trHeight w:val="510"/>
        </w:trPr>
        <w:tc>
          <w:tcPr>
            <w:tcW w:w="2009" w:type="pct"/>
            <w:shd w:val="clear" w:color="auto" w:fill="EEECE1" w:themeFill="background2"/>
            <w:vAlign w:val="center"/>
          </w:tcPr>
          <w:p w14:paraId="3A49856F"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537" w:type="pct"/>
            <w:vAlign w:val="center"/>
          </w:tcPr>
          <w:p w14:paraId="3190B82F" w14:textId="30093BBA" w:rsidR="00D4773F" w:rsidRPr="00962EF2" w:rsidRDefault="00D4773F" w:rsidP="00D4773F">
            <w:pPr>
              <w:rPr>
                <w:rFonts w:asciiTheme="majorHAnsi" w:hAnsiTheme="majorHAnsi"/>
                <w:bCs/>
              </w:rPr>
            </w:pPr>
            <w:r>
              <w:rPr>
                <w:rFonts w:asciiTheme="majorHAnsi" w:hAnsiTheme="majorHAnsi"/>
                <w:bCs/>
              </w:rPr>
              <w:t>Verslo vadybos profesinis bakalauras</w:t>
            </w:r>
          </w:p>
        </w:tc>
        <w:tc>
          <w:tcPr>
            <w:tcW w:w="1454" w:type="pct"/>
            <w:vAlign w:val="center"/>
          </w:tcPr>
          <w:p w14:paraId="17F6BA25" w14:textId="0CB3DF18" w:rsidR="00D4773F" w:rsidRPr="00962EF2" w:rsidRDefault="00D4773F" w:rsidP="00D4773F">
            <w:pPr>
              <w:rPr>
                <w:rFonts w:asciiTheme="majorHAnsi" w:hAnsiTheme="majorHAnsi"/>
                <w:bCs/>
              </w:rPr>
            </w:pPr>
            <w:r>
              <w:rPr>
                <w:rFonts w:asciiTheme="majorHAnsi" w:hAnsiTheme="majorHAnsi"/>
                <w:bCs/>
              </w:rPr>
              <w:t>Verslo vadybos profesinis bakalauras</w:t>
            </w:r>
          </w:p>
        </w:tc>
      </w:tr>
      <w:tr w:rsidR="00D4773F" w:rsidRPr="0060015D" w14:paraId="19C9061A" w14:textId="77777777" w:rsidTr="00D521A3">
        <w:trPr>
          <w:trHeight w:val="510"/>
        </w:trPr>
        <w:tc>
          <w:tcPr>
            <w:tcW w:w="2009" w:type="pct"/>
            <w:shd w:val="clear" w:color="auto" w:fill="EEECE1" w:themeFill="background2"/>
            <w:vAlign w:val="center"/>
          </w:tcPr>
          <w:p w14:paraId="647054A5"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537" w:type="pct"/>
            <w:vAlign w:val="center"/>
          </w:tcPr>
          <w:p w14:paraId="446C24AB" w14:textId="757532D6" w:rsidR="00D4773F" w:rsidRPr="00962EF2" w:rsidRDefault="00D4773F" w:rsidP="00D4773F">
            <w:pPr>
              <w:rPr>
                <w:rFonts w:asciiTheme="majorHAnsi" w:hAnsiTheme="majorHAnsi"/>
                <w:bCs/>
              </w:rPr>
            </w:pPr>
            <w:r>
              <w:rPr>
                <w:rFonts w:asciiTheme="majorHAnsi" w:hAnsiTheme="majorHAnsi"/>
                <w:bCs/>
              </w:rPr>
              <w:t>Lietuvių</w:t>
            </w:r>
          </w:p>
        </w:tc>
        <w:tc>
          <w:tcPr>
            <w:tcW w:w="1454" w:type="pct"/>
            <w:vAlign w:val="center"/>
          </w:tcPr>
          <w:p w14:paraId="03C78F17" w14:textId="61395C8C" w:rsidR="00D4773F" w:rsidRPr="00962EF2" w:rsidRDefault="00D4773F" w:rsidP="00D4773F">
            <w:pPr>
              <w:rPr>
                <w:rFonts w:asciiTheme="majorHAnsi" w:hAnsiTheme="majorHAnsi"/>
                <w:bCs/>
              </w:rPr>
            </w:pPr>
            <w:r>
              <w:rPr>
                <w:rFonts w:asciiTheme="majorHAnsi" w:hAnsiTheme="majorHAnsi"/>
                <w:bCs/>
              </w:rPr>
              <w:t>Lietuvių</w:t>
            </w:r>
          </w:p>
        </w:tc>
      </w:tr>
      <w:tr w:rsidR="00D4773F" w:rsidRPr="0060015D" w14:paraId="1A8CF559" w14:textId="77777777" w:rsidTr="00D521A3">
        <w:trPr>
          <w:trHeight w:val="510"/>
        </w:trPr>
        <w:tc>
          <w:tcPr>
            <w:tcW w:w="2009" w:type="pct"/>
            <w:shd w:val="clear" w:color="auto" w:fill="EEECE1" w:themeFill="background2"/>
            <w:vAlign w:val="center"/>
          </w:tcPr>
          <w:p w14:paraId="4FFBD562"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537" w:type="pct"/>
            <w:vAlign w:val="center"/>
          </w:tcPr>
          <w:p w14:paraId="0B35E473" w14:textId="5E5D5C2C" w:rsidR="00D4773F" w:rsidRPr="00962EF2" w:rsidRDefault="00D4773F" w:rsidP="00D4773F">
            <w:pPr>
              <w:rPr>
                <w:rFonts w:asciiTheme="majorHAnsi" w:hAnsiTheme="majorHAnsi"/>
                <w:bCs/>
              </w:rPr>
            </w:pPr>
            <w:r>
              <w:rPr>
                <w:rFonts w:asciiTheme="majorHAnsi" w:hAnsiTheme="majorHAnsi"/>
                <w:bCs/>
              </w:rPr>
              <w:t>Vidurinis išsilavinimas</w:t>
            </w:r>
          </w:p>
        </w:tc>
        <w:tc>
          <w:tcPr>
            <w:tcW w:w="1454" w:type="pct"/>
            <w:vAlign w:val="center"/>
          </w:tcPr>
          <w:p w14:paraId="2D89CD12" w14:textId="6292469D" w:rsidR="00D4773F" w:rsidRPr="00962EF2" w:rsidRDefault="00D4773F" w:rsidP="00D4773F">
            <w:pPr>
              <w:rPr>
                <w:rFonts w:asciiTheme="majorHAnsi" w:hAnsiTheme="majorHAnsi"/>
                <w:bCs/>
              </w:rPr>
            </w:pPr>
            <w:r>
              <w:rPr>
                <w:rFonts w:asciiTheme="majorHAnsi" w:hAnsiTheme="majorHAnsi"/>
                <w:bCs/>
              </w:rPr>
              <w:t>Vidurinis išsilavinimas</w:t>
            </w:r>
          </w:p>
        </w:tc>
      </w:tr>
      <w:tr w:rsidR="00D4773F" w:rsidRPr="0060015D" w14:paraId="74CBB0EC" w14:textId="77777777" w:rsidTr="00D521A3">
        <w:trPr>
          <w:trHeight w:val="510"/>
        </w:trPr>
        <w:tc>
          <w:tcPr>
            <w:tcW w:w="2009" w:type="pct"/>
            <w:shd w:val="clear" w:color="auto" w:fill="EEECE1" w:themeFill="background2"/>
            <w:vAlign w:val="center"/>
          </w:tcPr>
          <w:p w14:paraId="2CAD0796" w14:textId="77777777" w:rsidR="00D4773F" w:rsidRPr="0060015D" w:rsidRDefault="00D4773F" w:rsidP="00D4773F">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537" w:type="pct"/>
            <w:vAlign w:val="center"/>
          </w:tcPr>
          <w:p w14:paraId="0508DE70" w14:textId="7B070421" w:rsidR="00D4773F" w:rsidRPr="00D4773F" w:rsidRDefault="002026A9" w:rsidP="00D4773F">
            <w:pPr>
              <w:rPr>
                <w:rStyle w:val="fontstyle01"/>
                <w:rFonts w:asciiTheme="majorHAnsi" w:hAnsiTheme="majorHAnsi"/>
                <w:bCs/>
                <w:lang w:val="en-US"/>
              </w:rPr>
            </w:pPr>
            <w:r w:rsidRPr="002026A9">
              <w:rPr>
                <w:rStyle w:val="fontstyle01"/>
                <w:rFonts w:asciiTheme="majorHAnsi" w:hAnsiTheme="majorHAnsi"/>
                <w:bCs/>
                <w:lang w:val="en-US"/>
              </w:rPr>
              <w:t>2002</w:t>
            </w:r>
            <w:r>
              <w:rPr>
                <w:rStyle w:val="fontstyle01"/>
                <w:rFonts w:asciiTheme="majorHAnsi" w:hAnsiTheme="majorHAnsi"/>
                <w:bCs/>
                <w:lang w:val="en-US"/>
              </w:rPr>
              <w:t xml:space="preserve"> </w:t>
            </w:r>
            <w:r w:rsidRPr="002026A9">
              <w:rPr>
                <w:rStyle w:val="fontstyle01"/>
                <w:rFonts w:asciiTheme="majorHAnsi" w:hAnsiTheme="majorHAnsi"/>
                <w:bCs/>
                <w:lang w:val="en-US"/>
              </w:rPr>
              <w:t>08</w:t>
            </w:r>
            <w:r>
              <w:rPr>
                <w:rStyle w:val="fontstyle01"/>
                <w:rFonts w:asciiTheme="majorHAnsi" w:hAnsiTheme="majorHAnsi"/>
                <w:bCs/>
                <w:lang w:val="en-US"/>
              </w:rPr>
              <w:t xml:space="preserve"> </w:t>
            </w:r>
            <w:r w:rsidRPr="002026A9">
              <w:rPr>
                <w:rStyle w:val="fontstyle01"/>
                <w:rFonts w:asciiTheme="majorHAnsi" w:hAnsiTheme="majorHAnsi"/>
                <w:bCs/>
                <w:lang w:val="en-US"/>
              </w:rPr>
              <w:t>30</w:t>
            </w:r>
          </w:p>
        </w:tc>
        <w:tc>
          <w:tcPr>
            <w:tcW w:w="1454" w:type="pct"/>
            <w:vAlign w:val="center"/>
          </w:tcPr>
          <w:p w14:paraId="404A131A" w14:textId="6E63D283" w:rsidR="00D4773F" w:rsidRPr="00962EF2" w:rsidRDefault="002026A9" w:rsidP="00D4773F">
            <w:pPr>
              <w:rPr>
                <w:rFonts w:asciiTheme="majorHAnsi" w:hAnsiTheme="majorHAnsi"/>
                <w:bCs/>
              </w:rPr>
            </w:pPr>
            <w:r w:rsidRPr="002026A9">
              <w:rPr>
                <w:rFonts w:asciiTheme="majorHAnsi" w:hAnsiTheme="majorHAnsi"/>
                <w:bCs/>
              </w:rPr>
              <w:t>2017</w:t>
            </w:r>
            <w:r>
              <w:rPr>
                <w:rFonts w:asciiTheme="majorHAnsi" w:hAnsiTheme="majorHAnsi"/>
                <w:bCs/>
              </w:rPr>
              <w:t xml:space="preserve"> </w:t>
            </w:r>
            <w:r w:rsidRPr="002026A9">
              <w:rPr>
                <w:rFonts w:asciiTheme="majorHAnsi" w:hAnsiTheme="majorHAnsi"/>
                <w:bCs/>
              </w:rPr>
              <w:t>07</w:t>
            </w:r>
            <w:r>
              <w:rPr>
                <w:rFonts w:asciiTheme="majorHAnsi" w:hAnsiTheme="majorHAnsi"/>
                <w:bCs/>
              </w:rPr>
              <w:t xml:space="preserve"> </w:t>
            </w:r>
            <w:r w:rsidRPr="002026A9">
              <w:rPr>
                <w:rFonts w:asciiTheme="majorHAnsi" w:hAnsiTheme="majorHAnsi"/>
                <w:bCs/>
              </w:rPr>
              <w:t>28</w:t>
            </w:r>
          </w:p>
        </w:tc>
      </w:tr>
    </w:tbl>
    <w:p w14:paraId="2DA2AD12" w14:textId="77777777" w:rsidR="00960097" w:rsidRDefault="00960097" w:rsidP="008F64DA">
      <w:pPr>
        <w:spacing w:line="276" w:lineRule="auto"/>
        <w:rPr>
          <w:rFonts w:ascii="Calibri" w:eastAsia="Calibri" w:hAnsi="Calibri"/>
          <w:sz w:val="22"/>
          <w:szCs w:val="22"/>
        </w:rPr>
      </w:pPr>
    </w:p>
    <w:p w14:paraId="4CCF7385" w14:textId="5F03BE26" w:rsidR="0069329A" w:rsidRPr="000D4EE3" w:rsidRDefault="0069329A" w:rsidP="008F64DA">
      <w:pPr>
        <w:spacing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Pr="00F024F0" w:rsidRDefault="00677F9A" w:rsidP="008F64DA">
      <w:pPr>
        <w:keepNext/>
        <w:keepLines/>
        <w:tabs>
          <w:tab w:val="left" w:pos="680"/>
        </w:tabs>
        <w:spacing w:line="276" w:lineRule="auto"/>
        <w:ind w:left="360"/>
        <w:jc w:val="center"/>
        <w:outlineLvl w:val="1"/>
        <w:rPr>
          <w:rFonts w:ascii="Cambria" w:hAnsi="Cambria"/>
          <w:b/>
          <w:bCs/>
          <w:caps/>
          <w:color w:val="136C73"/>
          <w:sz w:val="28"/>
          <w:szCs w:val="28"/>
          <w:lang w:eastAsia="lt-LT"/>
        </w:rPr>
      </w:pPr>
      <w:r w:rsidRPr="00F024F0">
        <w:rPr>
          <w:rFonts w:ascii="Cambria" w:hAnsi="Cambria"/>
          <w:b/>
          <w:bCs/>
          <w:caps/>
          <w:color w:val="136C73"/>
          <w:sz w:val="28"/>
          <w:szCs w:val="28"/>
          <w:lang w:eastAsia="lt-LT"/>
        </w:rPr>
        <w:lastRenderedPageBreak/>
        <w:t>II. apibendrinamasis ĮVERTINIMAS</w:t>
      </w:r>
    </w:p>
    <w:p w14:paraId="6A1C5936" w14:textId="77777777" w:rsidR="0069329A" w:rsidRPr="0069329A" w:rsidRDefault="0069329A" w:rsidP="008F64D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39AA97DA" w:rsidR="00677F9A" w:rsidRDefault="00677F9A" w:rsidP="008F64DA">
      <w:pPr>
        <w:spacing w:line="276" w:lineRule="auto"/>
        <w:jc w:val="both"/>
        <w:rPr>
          <w:rFonts w:ascii="Cambria" w:hAnsi="Cambria"/>
          <w:color w:val="000000"/>
        </w:rPr>
      </w:pPr>
      <w:r w:rsidRPr="00960097">
        <w:rPr>
          <w:rFonts w:ascii="Cambria" w:hAnsi="Cambria"/>
          <w:b/>
          <w:bCs/>
          <w:i/>
          <w:iCs/>
        </w:rPr>
        <w:t>Pirmos</w:t>
      </w:r>
      <w:r w:rsidR="00E90C75" w:rsidRPr="00960097">
        <w:rPr>
          <w:rFonts w:ascii="Cambria" w:hAnsi="Cambria"/>
          <w:b/>
          <w:bCs/>
          <w:i/>
          <w:iCs/>
        </w:rPr>
        <w:t>ios</w:t>
      </w:r>
      <w:r w:rsidRPr="00960097">
        <w:rPr>
          <w:rFonts w:ascii="Cambria" w:hAnsi="Cambria"/>
          <w:b/>
          <w:bCs/>
          <w:i/>
          <w:iCs/>
        </w:rPr>
        <w:t xml:space="preserve"> pakopos</w:t>
      </w:r>
      <w:r w:rsidRPr="00677F9A">
        <w:rPr>
          <w:rFonts w:ascii="Cambria" w:hAnsi="Cambria"/>
        </w:rPr>
        <w:t xml:space="preserve"> </w:t>
      </w:r>
      <w:r w:rsidR="001147E8">
        <w:rPr>
          <w:rFonts w:ascii="Cambria" w:hAnsi="Cambria"/>
          <w:b/>
          <w:bCs/>
          <w:i/>
          <w:iCs/>
        </w:rPr>
        <w:t>v</w:t>
      </w:r>
      <w:r w:rsidR="00960097" w:rsidRPr="00960097">
        <w:rPr>
          <w:rFonts w:ascii="Cambria" w:hAnsi="Cambria"/>
          <w:b/>
          <w:bCs/>
          <w:i/>
          <w:iCs/>
        </w:rPr>
        <w:t>adybos</w:t>
      </w:r>
      <w:r w:rsidRPr="00677F9A">
        <w:rPr>
          <w:rFonts w:ascii="Cambria" w:hAnsi="Cambria"/>
        </w:rPr>
        <w:t xml:space="preserve"> studijų krypties studijos </w:t>
      </w:r>
      <w:r w:rsidR="002026A9">
        <w:rPr>
          <w:rFonts w:ascii="Cambria" w:hAnsi="Cambria"/>
          <w:iCs/>
        </w:rPr>
        <w:t>Šiaulių valstybinėje</w:t>
      </w:r>
      <w:r w:rsidR="00960097" w:rsidRPr="00960097">
        <w:rPr>
          <w:rFonts w:ascii="Cambria" w:hAnsi="Cambria"/>
          <w:iCs/>
        </w:rPr>
        <w:t xml:space="preserve"> kolegijoje</w:t>
      </w:r>
      <w:r w:rsidRPr="00677F9A">
        <w:rPr>
          <w:rFonts w:ascii="Cambria" w:hAnsi="Cambria"/>
          <w:i/>
        </w:rPr>
        <w:t xml:space="preserve"> </w:t>
      </w:r>
      <w:r w:rsidRPr="00677F9A">
        <w:rPr>
          <w:rFonts w:ascii="Cambria" w:hAnsi="Cambria"/>
          <w:color w:val="000000"/>
        </w:rPr>
        <w:t xml:space="preserve">vertinamos </w:t>
      </w:r>
      <w:r w:rsidRPr="00960097">
        <w:rPr>
          <w:rFonts w:ascii="Cambria" w:hAnsi="Cambria"/>
          <w:color w:val="000000"/>
        </w:rPr>
        <w:t>teigiama</w:t>
      </w:r>
      <w:r w:rsidR="00960097" w:rsidRPr="00960097">
        <w:rPr>
          <w:rFonts w:ascii="Cambria" w:hAnsi="Cambria"/>
          <w:color w:val="000000"/>
        </w:rPr>
        <w:t>i</w:t>
      </w:r>
      <w:r w:rsidRPr="002269D9">
        <w:rPr>
          <w:rFonts w:ascii="Cambria" w:hAnsi="Cambria"/>
          <w:color w:val="000000"/>
        </w:rPr>
        <w:t xml:space="preserve">. </w:t>
      </w:r>
    </w:p>
    <w:p w14:paraId="18473633" w14:textId="77777777" w:rsidR="00E90C75" w:rsidRPr="00677F9A" w:rsidRDefault="00E90C75" w:rsidP="008F64DA">
      <w:pPr>
        <w:spacing w:line="276" w:lineRule="auto"/>
        <w:jc w:val="both"/>
        <w:rPr>
          <w:rFonts w:ascii="Cambria" w:hAnsi="Cambria"/>
          <w:color w:val="000000"/>
        </w:rPr>
      </w:pPr>
    </w:p>
    <w:p w14:paraId="56254C61" w14:textId="4E22FFEC" w:rsidR="0069329A" w:rsidRPr="0069329A" w:rsidRDefault="00677F9A" w:rsidP="008F64DA">
      <w:pPr>
        <w:spacing w:line="276" w:lineRule="auto"/>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11493" w:type="dxa"/>
        <w:tblCellMar>
          <w:top w:w="15" w:type="dxa"/>
          <w:left w:w="15" w:type="dxa"/>
          <w:bottom w:w="15" w:type="dxa"/>
          <w:right w:w="15" w:type="dxa"/>
        </w:tblCellMar>
        <w:tblLook w:val="04A0" w:firstRow="1" w:lastRow="0" w:firstColumn="1" w:lastColumn="0" w:noHBand="0" w:noVBand="1"/>
      </w:tblPr>
      <w:tblGrid>
        <w:gridCol w:w="704"/>
        <w:gridCol w:w="6789"/>
        <w:gridCol w:w="2000"/>
        <w:gridCol w:w="2000"/>
      </w:tblGrid>
      <w:tr w:rsidR="0069329A" w14:paraId="1844151D" w14:textId="77777777" w:rsidTr="00960097">
        <w:trPr>
          <w:gridAfter w:val="1"/>
          <w:wAfter w:w="2000" w:type="dxa"/>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8F64DA">
            <w:pPr>
              <w:pStyle w:val="prastasiniatinklio"/>
              <w:spacing w:before="0" w:beforeAutospacing="0"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8F64DA">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F64DA">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F64DA">
            <w:pPr>
              <w:pStyle w:val="prastasiniatinklio"/>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05578B" w14:paraId="0EA6648E"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05578B" w:rsidRDefault="0005578B" w:rsidP="0005578B">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05578B" w:rsidRDefault="0005578B" w:rsidP="0005578B">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35C14510" w:rsidR="0005578B" w:rsidRPr="00BB1255" w:rsidRDefault="0005578B" w:rsidP="001B6D6C">
            <w:pPr>
              <w:jc w:val="center"/>
              <w:rPr>
                <w:rFonts w:asciiTheme="majorHAnsi" w:hAnsiTheme="majorHAnsi"/>
                <w:lang w:val="en-US"/>
              </w:rPr>
            </w:pPr>
            <w:r>
              <w:rPr>
                <w:rFonts w:ascii="Cambria" w:eastAsia="Cambria" w:hAnsi="Cambria" w:cs="Cambria"/>
              </w:rPr>
              <w:t>3</w:t>
            </w:r>
          </w:p>
        </w:tc>
      </w:tr>
      <w:tr w:rsidR="0005578B" w14:paraId="387BD306"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05578B" w:rsidRDefault="0005578B" w:rsidP="0005578B">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05578B" w:rsidRDefault="0005578B" w:rsidP="0005578B">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3D4F0AC7" w:rsidR="0005578B" w:rsidRPr="002026A9" w:rsidRDefault="002026A9" w:rsidP="0005578B">
            <w:pPr>
              <w:jc w:val="center"/>
              <w:rPr>
                <w:rFonts w:asciiTheme="majorHAnsi" w:hAnsiTheme="majorHAnsi"/>
                <w:lang w:val="en-US"/>
              </w:rPr>
            </w:pPr>
            <w:r>
              <w:rPr>
                <w:rFonts w:asciiTheme="majorHAnsi" w:hAnsiTheme="majorHAnsi"/>
                <w:lang w:val="en-US"/>
              </w:rPr>
              <w:t>3</w:t>
            </w:r>
          </w:p>
        </w:tc>
      </w:tr>
      <w:tr w:rsidR="0005578B" w14:paraId="216215D5"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05578B" w:rsidRDefault="0005578B" w:rsidP="0005578B">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05578B" w:rsidRPr="0069329A" w:rsidRDefault="0005578B" w:rsidP="0005578B">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420705F9" w:rsidR="0005578B" w:rsidRPr="00BB1255" w:rsidRDefault="002026A9" w:rsidP="0005578B">
            <w:pPr>
              <w:jc w:val="center"/>
              <w:rPr>
                <w:rFonts w:asciiTheme="majorHAnsi" w:hAnsiTheme="majorHAnsi"/>
              </w:rPr>
            </w:pPr>
            <w:r>
              <w:rPr>
                <w:rFonts w:asciiTheme="majorHAnsi" w:hAnsiTheme="majorHAnsi"/>
              </w:rPr>
              <w:t>3</w:t>
            </w:r>
          </w:p>
        </w:tc>
      </w:tr>
      <w:tr w:rsidR="0005578B" w14:paraId="11708A96"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05578B" w:rsidRDefault="0005578B" w:rsidP="0005578B">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05578B" w:rsidRDefault="0005578B" w:rsidP="0005578B">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67F420C3" w:rsidR="0005578B" w:rsidRPr="00BB1255" w:rsidRDefault="0005578B" w:rsidP="0005578B">
            <w:pPr>
              <w:jc w:val="center"/>
              <w:rPr>
                <w:rFonts w:asciiTheme="majorHAnsi" w:hAnsiTheme="majorHAnsi"/>
              </w:rPr>
            </w:pPr>
            <w:r>
              <w:rPr>
                <w:rFonts w:ascii="Cambria" w:eastAsia="Cambria" w:hAnsi="Cambria" w:cs="Cambria"/>
              </w:rPr>
              <w:t>3</w:t>
            </w:r>
          </w:p>
        </w:tc>
      </w:tr>
      <w:tr w:rsidR="0005578B" w14:paraId="05C7616C"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05578B" w:rsidRDefault="0005578B" w:rsidP="0005578B">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05578B" w:rsidRPr="0069329A" w:rsidRDefault="0005578B" w:rsidP="0005578B">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2F59E8F0" w:rsidR="0005578B" w:rsidRPr="00BB1255" w:rsidRDefault="002026A9" w:rsidP="0005578B">
            <w:pPr>
              <w:jc w:val="center"/>
              <w:rPr>
                <w:rFonts w:asciiTheme="majorHAnsi" w:hAnsiTheme="majorHAnsi"/>
              </w:rPr>
            </w:pPr>
            <w:r>
              <w:rPr>
                <w:rFonts w:asciiTheme="majorHAnsi" w:hAnsiTheme="majorHAnsi"/>
              </w:rPr>
              <w:t>3</w:t>
            </w:r>
          </w:p>
        </w:tc>
      </w:tr>
      <w:tr w:rsidR="0005578B" w14:paraId="3A770FD0"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05578B" w:rsidRDefault="0005578B" w:rsidP="0005578B">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05578B" w:rsidRDefault="0005578B" w:rsidP="0005578B">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5FDA3CC9" w:rsidR="0005578B" w:rsidRPr="00BB1255" w:rsidRDefault="002026A9" w:rsidP="0005578B">
            <w:pPr>
              <w:jc w:val="center"/>
              <w:rPr>
                <w:rFonts w:asciiTheme="majorHAnsi" w:hAnsiTheme="majorHAnsi"/>
              </w:rPr>
            </w:pPr>
            <w:r>
              <w:rPr>
                <w:rFonts w:asciiTheme="majorHAnsi" w:hAnsiTheme="majorHAnsi"/>
              </w:rPr>
              <w:t>3</w:t>
            </w:r>
          </w:p>
        </w:tc>
      </w:tr>
      <w:tr w:rsidR="0005578B" w14:paraId="4487E873" w14:textId="77777777" w:rsidTr="00960097">
        <w:trPr>
          <w:gridAfter w:val="1"/>
          <w:wAfter w:w="2000" w:type="dxa"/>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05578B" w:rsidRPr="00726FD0" w:rsidRDefault="0005578B" w:rsidP="0005578B">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05578B" w:rsidRPr="0069329A" w:rsidRDefault="0005578B" w:rsidP="0005578B">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5753F384" w:rsidR="0005578B" w:rsidRPr="00BB1255" w:rsidRDefault="0005578B" w:rsidP="0005578B">
            <w:pPr>
              <w:jc w:val="center"/>
              <w:rPr>
                <w:rFonts w:asciiTheme="majorHAnsi" w:hAnsiTheme="majorHAnsi"/>
              </w:rPr>
            </w:pPr>
            <w:r>
              <w:rPr>
                <w:rFonts w:ascii="Cambria" w:eastAsia="Cambria" w:hAnsi="Cambria" w:cs="Cambria"/>
              </w:rPr>
              <w:t>3</w:t>
            </w:r>
          </w:p>
        </w:tc>
      </w:tr>
      <w:tr w:rsidR="0005578B" w14:paraId="55FC3904" w14:textId="682DF94E" w:rsidTr="0005578B">
        <w:trPr>
          <w:trHeight w:val="429"/>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05578B" w:rsidRPr="00726FD0" w:rsidRDefault="0005578B" w:rsidP="0005578B">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7EE301BB" w:rsidR="0005578B" w:rsidRPr="00960097" w:rsidRDefault="0005578B" w:rsidP="0005578B">
            <w:pPr>
              <w:jc w:val="center"/>
              <w:rPr>
                <w:rFonts w:asciiTheme="majorHAnsi" w:hAnsiTheme="majorHAnsi"/>
              </w:rPr>
            </w:pPr>
            <w:r w:rsidRPr="00960097">
              <w:rPr>
                <w:rFonts w:asciiTheme="majorHAnsi" w:hAnsiTheme="majorHAnsi"/>
              </w:rPr>
              <w:t>2</w:t>
            </w:r>
            <w:r w:rsidR="002026A9">
              <w:rPr>
                <w:rFonts w:asciiTheme="majorHAnsi" w:hAnsiTheme="majorHAnsi"/>
              </w:rPr>
              <w:t>1</w:t>
            </w:r>
          </w:p>
        </w:tc>
        <w:tc>
          <w:tcPr>
            <w:tcW w:w="2000" w:type="dxa"/>
            <w:vAlign w:val="center"/>
          </w:tcPr>
          <w:p w14:paraId="46C21282" w14:textId="70FD9A87" w:rsidR="0005578B" w:rsidRDefault="0005578B" w:rsidP="0005578B">
            <w:pPr>
              <w:spacing w:after="200" w:line="276" w:lineRule="auto"/>
            </w:pPr>
          </w:p>
        </w:tc>
      </w:tr>
    </w:tbl>
    <w:p w14:paraId="32FA4D48" w14:textId="77777777" w:rsidR="008F64DA" w:rsidRDefault="008F64DA" w:rsidP="008F64DA">
      <w:pPr>
        <w:spacing w:line="276" w:lineRule="auto"/>
        <w:rPr>
          <w:rFonts w:ascii="Cambria" w:hAnsi="Cambria"/>
          <w:sz w:val="20"/>
          <w:szCs w:val="20"/>
        </w:rPr>
      </w:pPr>
    </w:p>
    <w:p w14:paraId="621AA775" w14:textId="7C390824" w:rsidR="0069329A" w:rsidRPr="0069329A" w:rsidRDefault="0069329A" w:rsidP="008F64D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8F64D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8F64D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8F64D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8F64D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27AB9920" w14:textId="36E73EC0" w:rsidR="00962EF2" w:rsidRPr="00962EF2" w:rsidRDefault="00962EF2" w:rsidP="00960097">
      <w:pPr>
        <w:spacing w:line="276" w:lineRule="auto"/>
        <w:rPr>
          <w:rFonts w:ascii="Cambria" w:hAnsi="Cambria"/>
        </w:rPr>
      </w:pPr>
    </w:p>
    <w:p w14:paraId="0BDDF718" w14:textId="77777777" w:rsidR="00962EF2" w:rsidRPr="00962EF2" w:rsidRDefault="00962EF2" w:rsidP="008F64DA">
      <w:pPr>
        <w:tabs>
          <w:tab w:val="num" w:pos="1080"/>
        </w:tabs>
        <w:spacing w:line="276" w:lineRule="auto"/>
        <w:rPr>
          <w:rFonts w:ascii="Cambria" w:hAnsi="Cambria"/>
          <w:lang w:eastAsia="en-US"/>
        </w:rPr>
      </w:pPr>
    </w:p>
    <w:p w14:paraId="1F614CF1" w14:textId="635D1E07" w:rsidR="00677F9A" w:rsidRPr="0043262A" w:rsidRDefault="00962EF2" w:rsidP="008F64DA">
      <w:pPr>
        <w:spacing w:line="276" w:lineRule="auto"/>
        <w:rPr>
          <w:rFonts w:ascii="Cambria" w:hAnsi="Cambria"/>
          <w:b/>
          <w:bCs/>
          <w:caps/>
          <w:color w:val="136C73"/>
          <w:sz w:val="22"/>
          <w:szCs w:val="18"/>
          <w:lang w:eastAsia="lt-LT"/>
        </w:rPr>
      </w:pPr>
      <w:r>
        <w:rPr>
          <w:rFonts w:ascii="Cambria" w:hAnsi="Cambria"/>
          <w:b/>
          <w:bCs/>
          <w:caps/>
          <w:color w:val="136C73"/>
          <w:sz w:val="36"/>
          <w:szCs w:val="26"/>
          <w:lang w:eastAsia="lt-LT"/>
        </w:rPr>
        <w:br w:type="page"/>
      </w:r>
    </w:p>
    <w:p w14:paraId="2C0D8EE7" w14:textId="638DDE46" w:rsidR="000D4EE3" w:rsidRPr="00F024F0" w:rsidRDefault="000D4EE3" w:rsidP="008F64DA">
      <w:pPr>
        <w:keepNext/>
        <w:keepLines/>
        <w:tabs>
          <w:tab w:val="left" w:pos="680"/>
        </w:tabs>
        <w:spacing w:line="276" w:lineRule="auto"/>
        <w:ind w:left="360"/>
        <w:jc w:val="center"/>
        <w:outlineLvl w:val="1"/>
        <w:rPr>
          <w:rFonts w:ascii="Cambria" w:hAnsi="Cambria"/>
          <w:b/>
          <w:bCs/>
          <w:caps/>
          <w:color w:val="136C73"/>
          <w:sz w:val="28"/>
          <w:szCs w:val="28"/>
          <w:lang w:eastAsia="lt-LT"/>
        </w:rPr>
      </w:pPr>
      <w:bookmarkStart w:id="5" w:name="_Toc37939115"/>
      <w:r w:rsidRPr="00F024F0">
        <w:rPr>
          <w:rFonts w:ascii="Cambria" w:hAnsi="Cambria"/>
          <w:b/>
          <w:bCs/>
          <w:caps/>
          <w:color w:val="136C73"/>
          <w:sz w:val="28"/>
          <w:szCs w:val="28"/>
          <w:lang w:eastAsia="lt-LT"/>
        </w:rPr>
        <w:lastRenderedPageBreak/>
        <w:t xml:space="preserve">IV. </w:t>
      </w:r>
      <w:bookmarkEnd w:id="5"/>
      <w:r w:rsidRPr="00F024F0">
        <w:rPr>
          <w:rFonts w:ascii="Cambria" w:hAnsi="Cambria"/>
          <w:b/>
          <w:bCs/>
          <w:caps/>
          <w:color w:val="136C73"/>
          <w:sz w:val="28"/>
          <w:szCs w:val="28"/>
          <w:lang w:eastAsia="lt-LT"/>
        </w:rPr>
        <w:t>išskirtinės kokybės pavyzdžiai</w:t>
      </w:r>
    </w:p>
    <w:p w14:paraId="549518D7" w14:textId="77777777" w:rsidR="002A5085" w:rsidRPr="00F024F0" w:rsidRDefault="002A5085" w:rsidP="008F64DA">
      <w:pPr>
        <w:keepNext/>
        <w:keepLines/>
        <w:tabs>
          <w:tab w:val="left" w:pos="680"/>
        </w:tabs>
        <w:spacing w:line="276" w:lineRule="auto"/>
        <w:ind w:left="360"/>
        <w:jc w:val="center"/>
        <w:outlineLvl w:val="1"/>
        <w:rPr>
          <w:rFonts w:ascii="Cambria" w:hAnsi="Cambria"/>
          <w:b/>
          <w:bCs/>
          <w:caps/>
          <w:color w:val="136C73"/>
          <w:sz w:val="28"/>
          <w:szCs w:val="28"/>
          <w:lang w:eastAsia="lt-LT"/>
        </w:rPr>
      </w:pPr>
    </w:p>
    <w:p w14:paraId="1F2FFD80" w14:textId="2DF859B6" w:rsidR="000D4EE3" w:rsidRDefault="00EB06E1" w:rsidP="001147E8">
      <w:pPr>
        <w:spacing w:line="276" w:lineRule="auto"/>
        <w:jc w:val="both"/>
        <w:rPr>
          <w:rFonts w:ascii="Cambria" w:hAnsi="Cambria"/>
        </w:rPr>
      </w:pPr>
      <w:bookmarkStart w:id="6" w:name="_Toc37939116"/>
      <w:r w:rsidRPr="00D4773F">
        <w:rPr>
          <w:rFonts w:ascii="Cambria" w:hAnsi="Cambria"/>
          <w:b/>
          <w:bCs/>
        </w:rPr>
        <w:t>Pagrindinės sąvokos apibrėžimas:</w:t>
      </w:r>
      <w:r w:rsidRPr="00D4773F">
        <w:rPr>
          <w:rFonts w:ascii="Cambria" w:hAnsi="Cambria"/>
        </w:rPr>
        <w:t xml:space="preserve"> išskirtinė kokybė</w:t>
      </w:r>
      <w:r w:rsidR="002A5085" w:rsidRPr="00D4773F">
        <w:rPr>
          <w:rFonts w:ascii="Cambria" w:hAnsi="Cambria"/>
        </w:rPr>
        <w:t xml:space="preserve"> – </w:t>
      </w:r>
      <w:r w:rsidRPr="00D4773F">
        <w:rPr>
          <w:rFonts w:ascii="Cambria" w:hAnsi="Cambria"/>
        </w:rPr>
        <w:t>tai išskirtinių savybių, kurių ne visi gali pasiekti, demonstravimas savo veikloje.</w:t>
      </w:r>
    </w:p>
    <w:p w14:paraId="2B966453" w14:textId="43938963" w:rsidR="00B56E7C" w:rsidRDefault="00B56E7C" w:rsidP="001147E8">
      <w:pPr>
        <w:spacing w:line="276" w:lineRule="auto"/>
        <w:jc w:val="both"/>
        <w:rPr>
          <w:rFonts w:ascii="Cambria" w:hAnsi="Cambria"/>
        </w:rPr>
      </w:pPr>
    </w:p>
    <w:p w14:paraId="6A6680BB" w14:textId="0A23BAE9" w:rsidR="00B56E7C" w:rsidRPr="00B56E7C" w:rsidRDefault="00B56E7C" w:rsidP="001147E8">
      <w:pPr>
        <w:spacing w:line="276" w:lineRule="auto"/>
        <w:jc w:val="both"/>
        <w:rPr>
          <w:rFonts w:ascii="Cambria" w:hAnsi="Cambria"/>
        </w:rPr>
      </w:pPr>
      <w:r w:rsidRPr="00B56E7C">
        <w:rPr>
          <w:rFonts w:ascii="Cambria" w:hAnsi="Cambria"/>
        </w:rPr>
        <w:t xml:space="preserve">Ekspertų grupė teigiamai vertina aukštosios mokyklos gebėjimą profesionaliai dirbti įvairiomis kalbomis ir jas naudoti studentams teikiant išsilavinimą, taip demonstruojant į studentą orientuotą mokymo metodą. Tai svarbi sąsaja ne tik Ukrainos karo pabėgėliams, bet ir kitų šalių studentams </w:t>
      </w:r>
      <w:r>
        <w:rPr>
          <w:rFonts w:ascii="Cambria" w:hAnsi="Cambria"/>
        </w:rPr>
        <w:t>ir</w:t>
      </w:r>
      <w:r w:rsidRPr="00B56E7C">
        <w:rPr>
          <w:rFonts w:ascii="Cambria" w:hAnsi="Cambria"/>
        </w:rPr>
        <w:t xml:space="preserve"> ES darbo rinka</w:t>
      </w:r>
      <w:r w:rsidR="001147E8">
        <w:rPr>
          <w:rFonts w:ascii="Cambria" w:hAnsi="Cambria"/>
        </w:rPr>
        <w:t>i</w:t>
      </w:r>
      <w:r w:rsidRPr="00B56E7C">
        <w:rPr>
          <w:rFonts w:ascii="Cambria" w:hAnsi="Cambria"/>
        </w:rPr>
        <w:t>.</w:t>
      </w:r>
    </w:p>
    <w:p w14:paraId="796581DD" w14:textId="77777777" w:rsidR="00B56E7C" w:rsidRPr="00B56E7C" w:rsidRDefault="00B56E7C" w:rsidP="001147E8">
      <w:pPr>
        <w:spacing w:line="276" w:lineRule="auto"/>
        <w:jc w:val="both"/>
        <w:rPr>
          <w:rFonts w:ascii="Cambria" w:hAnsi="Cambria"/>
        </w:rPr>
      </w:pPr>
    </w:p>
    <w:p w14:paraId="0E0A6E83" w14:textId="1D5F0C04" w:rsidR="00B56E7C" w:rsidRDefault="00B56E7C" w:rsidP="001147E8">
      <w:pPr>
        <w:spacing w:line="276" w:lineRule="auto"/>
        <w:jc w:val="both"/>
        <w:rPr>
          <w:rFonts w:ascii="Cambria" w:hAnsi="Cambria"/>
        </w:rPr>
      </w:pPr>
      <w:r w:rsidRPr="00B56E7C">
        <w:rPr>
          <w:rFonts w:ascii="Cambria" w:hAnsi="Cambria"/>
        </w:rPr>
        <w:t xml:space="preserve">Studijų programos Gamybos ir logistikos vadyba glaudaus bendradarbiavimo su regiono rinka istorija (ir nuolatinės pastangos) lėmė, kad ši programa yra labai aktuali ir rengia kvalifikuotus bei paklausius absolventus. Bendradarbiavimo </w:t>
      </w:r>
      <w:r>
        <w:rPr>
          <w:rFonts w:ascii="Cambria" w:hAnsi="Cambria"/>
        </w:rPr>
        <w:t>lygis</w:t>
      </w:r>
      <w:r w:rsidRPr="00B56E7C">
        <w:rPr>
          <w:rFonts w:ascii="Cambria" w:hAnsi="Cambria"/>
        </w:rPr>
        <w:t xml:space="preserve"> rengiant šią studijų programą galėtų būti laikomas išskirtinės kokybės pavyzdžiu.</w:t>
      </w:r>
    </w:p>
    <w:p w14:paraId="17B0B731" w14:textId="71708E24" w:rsidR="00D4773F" w:rsidRDefault="00D4773F" w:rsidP="001147E8">
      <w:pPr>
        <w:spacing w:line="276" w:lineRule="auto"/>
        <w:jc w:val="both"/>
        <w:rPr>
          <w:rFonts w:ascii="Cambria" w:hAnsi="Cambria"/>
        </w:rPr>
      </w:pPr>
    </w:p>
    <w:p w14:paraId="0609F5E4" w14:textId="77777777" w:rsidR="00D4773F" w:rsidRPr="00D4773F" w:rsidRDefault="00D4773F" w:rsidP="001147E8">
      <w:pPr>
        <w:spacing w:line="276" w:lineRule="auto"/>
        <w:jc w:val="both"/>
        <w:rPr>
          <w:rFonts w:ascii="Cambria" w:hAnsi="Cambria"/>
          <w:b/>
          <w:bCs/>
          <w:caps/>
          <w:color w:val="136C73"/>
          <w:lang w:eastAsia="lt-LT"/>
        </w:rPr>
      </w:pPr>
    </w:p>
    <w:p w14:paraId="06836D07" w14:textId="55506E94" w:rsidR="00962EF2" w:rsidRDefault="00962EF2" w:rsidP="001147E8">
      <w:pPr>
        <w:spacing w:line="276" w:lineRule="auto"/>
        <w:jc w:val="both"/>
        <w:rPr>
          <w:rFonts w:ascii="Cambria" w:hAnsi="Cambria"/>
          <w:b/>
          <w:bCs/>
          <w:caps/>
          <w:color w:val="136C73"/>
          <w:szCs w:val="20"/>
          <w:lang w:eastAsia="lt-LT"/>
        </w:rPr>
      </w:pPr>
    </w:p>
    <w:p w14:paraId="09AEFD02" w14:textId="77777777" w:rsidR="00EB06E1" w:rsidRPr="00EB06E1" w:rsidRDefault="00EB06E1" w:rsidP="008F64DA">
      <w:pPr>
        <w:spacing w:line="276" w:lineRule="auto"/>
        <w:rPr>
          <w:rFonts w:ascii="Cambria" w:hAnsi="Cambria"/>
          <w:b/>
          <w:bCs/>
          <w:caps/>
          <w:color w:val="136C73"/>
          <w:szCs w:val="20"/>
          <w:lang w:eastAsia="lt-LT"/>
        </w:rPr>
      </w:pPr>
    </w:p>
    <w:p w14:paraId="2A6D85EC" w14:textId="46B76EF3" w:rsidR="00962EF2" w:rsidRPr="00EB06E1" w:rsidRDefault="00962EF2" w:rsidP="008F64DA">
      <w:pPr>
        <w:spacing w:line="276" w:lineRule="auto"/>
        <w:rPr>
          <w:rFonts w:ascii="Cambria" w:hAnsi="Cambria"/>
          <w:b/>
          <w:bCs/>
          <w:caps/>
          <w:color w:val="136C73"/>
          <w:sz w:val="36"/>
          <w:szCs w:val="26"/>
          <w:lang w:eastAsia="lt-LT"/>
        </w:rPr>
      </w:pPr>
      <w:r w:rsidRPr="00EB06E1">
        <w:rPr>
          <w:rFonts w:ascii="Cambria" w:hAnsi="Cambria"/>
          <w:b/>
          <w:bCs/>
          <w:caps/>
          <w:color w:val="136C73"/>
          <w:sz w:val="36"/>
          <w:szCs w:val="26"/>
          <w:lang w:eastAsia="lt-LT"/>
        </w:rPr>
        <w:br w:type="page"/>
      </w:r>
    </w:p>
    <w:p w14:paraId="35A30462" w14:textId="08A5255D" w:rsidR="006D59EB" w:rsidRPr="00F024F0" w:rsidRDefault="000D4EE3" w:rsidP="008F64DA">
      <w:pPr>
        <w:keepNext/>
        <w:keepLines/>
        <w:tabs>
          <w:tab w:val="left" w:pos="680"/>
        </w:tabs>
        <w:spacing w:line="276" w:lineRule="auto"/>
        <w:jc w:val="center"/>
        <w:outlineLvl w:val="1"/>
        <w:rPr>
          <w:rFonts w:ascii="Cambria" w:hAnsi="Cambria"/>
          <w:b/>
          <w:bCs/>
          <w:caps/>
          <w:color w:val="136C73"/>
          <w:sz w:val="28"/>
          <w:szCs w:val="28"/>
          <w:lang w:eastAsia="lt-LT"/>
        </w:rPr>
      </w:pPr>
      <w:r w:rsidRPr="00F024F0">
        <w:rPr>
          <w:rFonts w:ascii="Cambria" w:hAnsi="Cambria"/>
          <w:b/>
          <w:bCs/>
          <w:caps/>
          <w:color w:val="136C73"/>
          <w:sz w:val="28"/>
          <w:szCs w:val="28"/>
          <w:lang w:eastAsia="lt-LT"/>
        </w:rPr>
        <w:lastRenderedPageBreak/>
        <w:t>v. REkomendacijos</w:t>
      </w:r>
      <w:bookmarkEnd w:id="6"/>
    </w:p>
    <w:p w14:paraId="04242C1E" w14:textId="77777777" w:rsidR="006D59EB" w:rsidRPr="006D59EB" w:rsidRDefault="006D59EB" w:rsidP="008F64DA">
      <w:pPr>
        <w:spacing w:line="276" w:lineRule="auto"/>
        <w:rPr>
          <w:rFonts w:ascii="Cambria" w:hAnsi="Cambria"/>
          <w:b/>
          <w:bCs/>
          <w:caps/>
          <w:color w:val="136C73"/>
          <w:szCs w:val="2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B56E7C">
        <w:trPr>
          <w:trHeight w:val="654"/>
        </w:trPr>
        <w:tc>
          <w:tcPr>
            <w:tcW w:w="2552" w:type="dxa"/>
            <w:shd w:val="clear" w:color="auto" w:fill="EEECE1"/>
            <w:tcMar>
              <w:top w:w="0" w:type="dxa"/>
              <w:left w:w="115" w:type="dxa"/>
              <w:bottom w:w="0" w:type="dxa"/>
              <w:right w:w="115" w:type="dxa"/>
            </w:tcMar>
            <w:vAlign w:val="center"/>
            <w:hideMark/>
          </w:tcPr>
          <w:p w14:paraId="49EBF7BF" w14:textId="6BEEF9E7" w:rsidR="006D59EB" w:rsidRPr="006D59EB" w:rsidRDefault="006D59EB" w:rsidP="008F64DA">
            <w:pPr>
              <w:pStyle w:val="prastasiniatinklio"/>
              <w:spacing w:before="0" w:beforeAutospacing="0" w:after="0" w:afterAutospacing="0" w:line="276" w:lineRule="auto"/>
              <w:jc w:val="center"/>
              <w:rPr>
                <w:rFonts w:asciiTheme="majorHAnsi" w:hAnsiTheme="majorHAnsi"/>
              </w:rPr>
            </w:pPr>
            <w:r>
              <w:rPr>
                <w:rFonts w:asciiTheme="majorHAnsi" w:hAnsiTheme="majorHAnsi"/>
                <w:b/>
                <w:bCs/>
                <w:color w:val="136C73"/>
              </w:rPr>
              <w:t>Vertinamoji sritis</w:t>
            </w:r>
          </w:p>
        </w:tc>
        <w:tc>
          <w:tcPr>
            <w:tcW w:w="7087" w:type="dxa"/>
            <w:shd w:val="clear" w:color="auto" w:fill="EEECE1"/>
            <w:tcMar>
              <w:top w:w="0" w:type="dxa"/>
              <w:left w:w="115" w:type="dxa"/>
              <w:bottom w:w="0" w:type="dxa"/>
              <w:right w:w="115" w:type="dxa"/>
            </w:tcMar>
            <w:vAlign w:val="center"/>
            <w:hideMark/>
          </w:tcPr>
          <w:p w14:paraId="7C8C338C" w14:textId="480F5AE3" w:rsidR="006D59EB" w:rsidRPr="006D59EB" w:rsidRDefault="006D59EB" w:rsidP="008F64DA">
            <w:pPr>
              <w:pStyle w:val="prastasiniatinklio"/>
              <w:spacing w:before="0" w:beforeAutospacing="0" w:after="0" w:afterAutospacing="0" w:line="276" w:lineRule="auto"/>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B56E7C" w14:paraId="4CFE37D5" w14:textId="77777777" w:rsidTr="00B56E7C">
        <w:trPr>
          <w:trHeight w:val="1134"/>
        </w:trPr>
        <w:tc>
          <w:tcPr>
            <w:tcW w:w="2552" w:type="dxa"/>
            <w:shd w:val="clear" w:color="auto" w:fill="EEECE1"/>
            <w:tcMar>
              <w:top w:w="0" w:type="dxa"/>
              <w:left w:w="115" w:type="dxa"/>
              <w:bottom w:w="0" w:type="dxa"/>
              <w:right w:w="115" w:type="dxa"/>
            </w:tcMar>
            <w:vAlign w:val="center"/>
            <w:hideMark/>
          </w:tcPr>
          <w:p w14:paraId="5B44A778" w14:textId="04B524BC" w:rsidR="00B56E7C" w:rsidRPr="006D59EB" w:rsidRDefault="00B56E7C" w:rsidP="00B56E7C">
            <w:pPr>
              <w:pStyle w:val="prastasiniatinklio"/>
              <w:spacing w:before="0" w:beforeAutospacing="0" w:after="0" w:afterAutospacing="0" w:line="276" w:lineRule="auto"/>
              <w:rPr>
                <w:rFonts w:asciiTheme="majorHAnsi" w:hAnsiTheme="majorHAnsi"/>
              </w:rPr>
            </w:pPr>
            <w:r w:rsidRPr="006D59EB">
              <w:rPr>
                <w:rFonts w:asciiTheme="majorHAnsi" w:hAnsiTheme="majorHAnsi"/>
                <w:color w:val="136C73"/>
              </w:rPr>
              <w:t>Studijų tikslai, rezultatai ir turinys</w:t>
            </w:r>
          </w:p>
        </w:tc>
        <w:tc>
          <w:tcPr>
            <w:tcW w:w="7087" w:type="dxa"/>
            <w:tcMar>
              <w:top w:w="0" w:type="dxa"/>
              <w:left w:w="115" w:type="dxa"/>
              <w:bottom w:w="0" w:type="dxa"/>
              <w:right w:w="115" w:type="dxa"/>
            </w:tcMar>
            <w:vAlign w:val="center"/>
            <w:hideMark/>
          </w:tcPr>
          <w:p w14:paraId="0A14ED32" w14:textId="35C74BC9"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Ekspertų grupė nustatė signalus, rodančius galimą pažymių infliacijos tendenciją. Reikėtų įgyvendinti vertinimo politiką, kuri padėtų išvengti situacijų, kai 80 proc. studentų gauna aukščiausius įvertinimus.</w:t>
            </w:r>
          </w:p>
          <w:p w14:paraId="5FDC47F1" w14:textId="77777777" w:rsidR="00B56E7C" w:rsidRPr="00701BE3" w:rsidRDefault="00B56E7C" w:rsidP="00B56E7C">
            <w:pPr>
              <w:spacing w:line="276" w:lineRule="auto"/>
              <w:jc w:val="both"/>
              <w:rPr>
                <w:rFonts w:ascii="Cambria" w:eastAsia="Cambria" w:hAnsi="Cambria" w:cs="Cambria"/>
              </w:rPr>
            </w:pPr>
          </w:p>
          <w:p w14:paraId="20C0CBE8" w14:textId="16D39573"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Studentai pageidauja platesnio studijų dalykų pasirinkimo. Atsižvelgiant į darbdavių ir socialinių partnerių pasisakymus apie absolventų įgūdžių trūkumą vadybos technologijų naujovių srityse, reikėtų apsvarstyti galimybę</w:t>
            </w:r>
            <w:r w:rsidR="00472B8B">
              <w:rPr>
                <w:rFonts w:ascii="Cambria" w:eastAsia="Cambria" w:hAnsi="Cambria" w:cs="Cambria"/>
                <w:lang w:bidi="lt-LT"/>
              </w:rPr>
              <w:t xml:space="preserve"> </w:t>
            </w:r>
            <w:r w:rsidRPr="00701BE3">
              <w:rPr>
                <w:rFonts w:ascii="Cambria" w:eastAsia="Cambria" w:hAnsi="Cambria" w:cs="Cambria"/>
                <w:lang w:bidi="lt-LT"/>
              </w:rPr>
              <w:t>įtraukti naujus specializuotus pasirenkamuosius dalykus.</w:t>
            </w:r>
          </w:p>
          <w:p w14:paraId="1F5B5794" w14:textId="77777777" w:rsidR="00B56E7C" w:rsidRPr="00701BE3" w:rsidRDefault="00B56E7C" w:rsidP="00B56E7C">
            <w:pPr>
              <w:spacing w:line="276" w:lineRule="auto"/>
              <w:jc w:val="both"/>
              <w:rPr>
                <w:rFonts w:ascii="Cambria" w:eastAsia="Cambria" w:hAnsi="Cambria" w:cs="Cambria"/>
              </w:rPr>
            </w:pPr>
          </w:p>
          <w:p w14:paraId="52A2DCD2" w14:textId="59938A95"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 xml:space="preserve">Turėtų būti ištirtas ir išnagrinėtas skirtingų Įmonių ir įstaigų vadybos studijų programos </w:t>
            </w:r>
            <w:r w:rsidR="00472B8B">
              <w:rPr>
                <w:rFonts w:ascii="Cambria" w:eastAsia="Cambria" w:hAnsi="Cambria" w:cs="Cambria"/>
                <w:lang w:bidi="lt-LT"/>
              </w:rPr>
              <w:t xml:space="preserve">studijų </w:t>
            </w:r>
            <w:r w:rsidRPr="00701BE3">
              <w:rPr>
                <w:rFonts w:ascii="Cambria" w:eastAsia="Cambria" w:hAnsi="Cambria" w:cs="Cambria"/>
                <w:lang w:bidi="lt-LT"/>
              </w:rPr>
              <w:t>dalykų</w:t>
            </w:r>
            <w:r w:rsidR="00472B8B">
              <w:rPr>
                <w:rFonts w:ascii="Cambria" w:eastAsia="Cambria" w:hAnsi="Cambria" w:cs="Cambria"/>
                <w:lang w:bidi="lt-LT"/>
              </w:rPr>
              <w:t xml:space="preserve"> </w:t>
            </w:r>
            <w:r w:rsidRPr="00701BE3">
              <w:rPr>
                <w:rFonts w:ascii="Cambria" w:eastAsia="Cambria" w:hAnsi="Cambria" w:cs="Cambria"/>
                <w:lang w:bidi="lt-LT"/>
              </w:rPr>
              <w:t>turinio dubliavimas.</w:t>
            </w:r>
          </w:p>
        </w:tc>
      </w:tr>
      <w:tr w:rsidR="00B56E7C" w14:paraId="23D6E937" w14:textId="77777777" w:rsidTr="00B56E7C">
        <w:trPr>
          <w:trHeight w:val="1134"/>
        </w:trPr>
        <w:tc>
          <w:tcPr>
            <w:tcW w:w="2552" w:type="dxa"/>
            <w:shd w:val="clear" w:color="auto" w:fill="EEECE1"/>
            <w:tcMar>
              <w:top w:w="0" w:type="dxa"/>
              <w:left w:w="115" w:type="dxa"/>
              <w:bottom w:w="0" w:type="dxa"/>
              <w:right w:w="115" w:type="dxa"/>
            </w:tcMar>
            <w:vAlign w:val="center"/>
            <w:hideMark/>
          </w:tcPr>
          <w:p w14:paraId="4FB0D486" w14:textId="0AF09DA7" w:rsidR="00B56E7C" w:rsidRPr="006D59EB" w:rsidRDefault="00B56E7C" w:rsidP="00B56E7C">
            <w:pPr>
              <w:pStyle w:val="prastasiniatinklio"/>
              <w:spacing w:before="0" w:beforeAutospacing="0" w:after="0" w:afterAutospacing="0" w:line="276" w:lineRule="auto"/>
              <w:rPr>
                <w:rFonts w:asciiTheme="majorHAnsi" w:hAnsiTheme="majorHAnsi"/>
              </w:rPr>
            </w:pPr>
            <w:r w:rsidRPr="006D59EB">
              <w:rPr>
                <w:rFonts w:asciiTheme="majorHAnsi" w:hAnsiTheme="majorHAnsi"/>
                <w:color w:val="136C73"/>
              </w:rPr>
              <w:t>Mokslo (meno) ir studijų sąsajos</w:t>
            </w:r>
          </w:p>
        </w:tc>
        <w:tc>
          <w:tcPr>
            <w:tcW w:w="7087" w:type="dxa"/>
            <w:tcMar>
              <w:top w:w="0" w:type="dxa"/>
              <w:left w:w="115" w:type="dxa"/>
              <w:bottom w:w="0" w:type="dxa"/>
              <w:right w:w="115" w:type="dxa"/>
            </w:tcMar>
            <w:vAlign w:val="center"/>
            <w:hideMark/>
          </w:tcPr>
          <w:p w14:paraId="1D16F14F" w14:textId="77777777"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SVK mokslinių tyrimų publikacijų ir pranešimų sklaidos strategija šiuo metu yra daugiausia reaktyvi ir grindžiama atskirų dėstytojų tinklo ryšiais, o ne sisteminga mokslinių tyrimų kokybės vertinimo ir valdymo koncepcija. Ekspertų grupė rekomenduotų įgyvendinti specialią mokslinių tyrimų politiką, kurioje būtų derinami vis ambicingesni mokslinių tyrimų tikslai ir pakankamai patraukli, į atskirus tyrėjus orientuota mokslinių tyrimų skatinimo sistema. Ekspertų grupė taip pat siūlytų pertvarkyti esamą mokslinių tyrimų grupių portfelį (žr. 3.2.1 skirsnio pastabas).</w:t>
            </w:r>
          </w:p>
          <w:p w14:paraId="14341634" w14:textId="77777777" w:rsidR="00B56E7C" w:rsidRPr="00701BE3" w:rsidRDefault="00B56E7C" w:rsidP="00B56E7C">
            <w:pPr>
              <w:spacing w:line="276" w:lineRule="auto"/>
              <w:jc w:val="both"/>
              <w:rPr>
                <w:rFonts w:ascii="Cambria" w:eastAsia="Cambria" w:hAnsi="Cambria" w:cs="Cambria"/>
              </w:rPr>
            </w:pPr>
          </w:p>
          <w:p w14:paraId="2D448CB4" w14:textId="486C7537"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 xml:space="preserve">SVK yra į inovacijas orientuota institucija, tačiau dauguma pokyčių valdymo iniciatyvų yra susijusios su technologinėmis inovacijomis, pavyzdžiui, skaitmeninimo iniciatyvomis. Ekspertų grupė rekomenduotų sulėtinti technologinių pokyčių procesus ir daugiau dėmesio skirti socialinėms inovacijoms, siekiant užtikrinti, kad technologinės ir socialinės inovacijos SVK vyktų kartu ir papildytų viena kitą. Ekspertų grupė rekomenduotų aptarti ir iš naujo apibrėžti SVK Informacinių technologijų centro vadovo vaidmenį, kurio įtaka ir žinios ne tik </w:t>
            </w:r>
            <w:r w:rsidR="00472B8B">
              <w:rPr>
                <w:rFonts w:ascii="Cambria" w:eastAsia="Cambria" w:hAnsi="Cambria" w:cs="Cambria"/>
                <w:lang w:bidi="lt-LT"/>
              </w:rPr>
              <w:t>e</w:t>
            </w:r>
            <w:r w:rsidRPr="00701BE3">
              <w:rPr>
                <w:rFonts w:ascii="Cambria" w:eastAsia="Cambria" w:hAnsi="Cambria" w:cs="Cambria"/>
                <w:lang w:bidi="lt-LT"/>
              </w:rPr>
              <w:t>kspertų grupės, bet ir kelių diskusijų dalyvių</w:t>
            </w:r>
            <w:r w:rsidR="00472B8B">
              <w:rPr>
                <w:rFonts w:ascii="Cambria" w:eastAsia="Cambria" w:hAnsi="Cambria" w:cs="Cambria"/>
                <w:lang w:bidi="lt-LT"/>
              </w:rPr>
              <w:t>,</w:t>
            </w:r>
            <w:r w:rsidRPr="00701BE3">
              <w:rPr>
                <w:rFonts w:ascii="Cambria" w:eastAsia="Cambria" w:hAnsi="Cambria" w:cs="Cambria"/>
                <w:lang w:bidi="lt-LT"/>
              </w:rPr>
              <w:t xml:space="preserve"> buvo įvertintos kaip stebėtinai didelės</w:t>
            </w:r>
            <w:r w:rsidR="00472B8B">
              <w:rPr>
                <w:rFonts w:ascii="Cambria" w:eastAsia="Cambria" w:hAnsi="Cambria" w:cs="Cambria"/>
                <w:lang w:bidi="lt-LT"/>
              </w:rPr>
              <w:t xml:space="preserve"> kaip</w:t>
            </w:r>
            <w:r w:rsidRPr="00701BE3">
              <w:rPr>
                <w:rFonts w:ascii="Cambria" w:eastAsia="Cambria" w:hAnsi="Cambria" w:cs="Cambria"/>
                <w:lang w:bidi="lt-LT"/>
              </w:rPr>
              <w:t xml:space="preserve"> paramos padalinio vadovui.</w:t>
            </w:r>
          </w:p>
          <w:p w14:paraId="39D697A1" w14:textId="77777777" w:rsidR="00B56E7C" w:rsidRPr="00701BE3" w:rsidRDefault="00B56E7C" w:rsidP="00B56E7C">
            <w:pPr>
              <w:spacing w:line="276" w:lineRule="auto"/>
              <w:jc w:val="both"/>
              <w:rPr>
                <w:rFonts w:ascii="Cambria" w:eastAsia="Cambria" w:hAnsi="Cambria" w:cs="Cambria"/>
              </w:rPr>
            </w:pPr>
          </w:p>
          <w:p w14:paraId="7883C4D7" w14:textId="6CDB61B6" w:rsidR="00B56E7C" w:rsidRDefault="00B56E7C" w:rsidP="00B56E7C">
            <w:pPr>
              <w:spacing w:line="276" w:lineRule="auto"/>
              <w:jc w:val="both"/>
              <w:rPr>
                <w:rFonts w:ascii="Cambria" w:eastAsia="Cambria" w:hAnsi="Cambria" w:cs="Cambria"/>
                <w:lang w:bidi="lt-LT"/>
              </w:rPr>
            </w:pPr>
            <w:r w:rsidRPr="00701BE3">
              <w:rPr>
                <w:rFonts w:ascii="Cambria" w:eastAsia="Cambria" w:hAnsi="Cambria" w:cs="Cambria"/>
                <w:lang w:bidi="lt-LT"/>
              </w:rPr>
              <w:t>„Studentų mokslinė draugija“ atrodo labai pasyvi ir ją reikėtų suaktyvinti.</w:t>
            </w:r>
          </w:p>
          <w:p w14:paraId="6AF5A582" w14:textId="77777777" w:rsidR="00472B8B" w:rsidRPr="00701BE3" w:rsidRDefault="00472B8B" w:rsidP="00B56E7C">
            <w:pPr>
              <w:spacing w:line="276" w:lineRule="auto"/>
              <w:jc w:val="both"/>
              <w:rPr>
                <w:rFonts w:ascii="Cambria" w:eastAsia="Cambria" w:hAnsi="Cambria" w:cs="Cambria"/>
              </w:rPr>
            </w:pPr>
          </w:p>
          <w:p w14:paraId="4DD5F2F8" w14:textId="26D821F7"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Mokslo ir studijų sąsajos tobulinimas suprantamas kaip technologinių, o ne socialinių inovacijų klausimas. Šį technologinį šališkumą derėtų paneigti, nes moksliniai tyrimai</w:t>
            </w:r>
            <w:r w:rsidR="001147E8">
              <w:rPr>
                <w:rFonts w:ascii="Cambria" w:eastAsia="Cambria" w:hAnsi="Cambria" w:cs="Cambria"/>
                <w:lang w:bidi="lt-LT"/>
              </w:rPr>
              <w:t>,</w:t>
            </w:r>
            <w:r w:rsidRPr="00701BE3">
              <w:rPr>
                <w:rFonts w:ascii="Cambria" w:eastAsia="Cambria" w:hAnsi="Cambria" w:cs="Cambria"/>
                <w:lang w:bidi="lt-LT"/>
              </w:rPr>
              <w:t xml:space="preserve"> visų pirma</w:t>
            </w:r>
            <w:r w:rsidR="001147E8">
              <w:rPr>
                <w:rFonts w:ascii="Cambria" w:eastAsia="Cambria" w:hAnsi="Cambria" w:cs="Cambria"/>
                <w:lang w:bidi="lt-LT"/>
              </w:rPr>
              <w:t>,</w:t>
            </w:r>
            <w:r w:rsidRPr="00701BE3">
              <w:rPr>
                <w:rFonts w:ascii="Cambria" w:eastAsia="Cambria" w:hAnsi="Cambria" w:cs="Cambria"/>
                <w:lang w:bidi="lt-LT"/>
              </w:rPr>
              <w:t xml:space="preserve"> yra socialinė veikla.</w:t>
            </w:r>
          </w:p>
        </w:tc>
      </w:tr>
      <w:tr w:rsidR="00B56E7C" w14:paraId="7377DC7E" w14:textId="77777777" w:rsidTr="00B56E7C">
        <w:trPr>
          <w:trHeight w:val="1134"/>
        </w:trPr>
        <w:tc>
          <w:tcPr>
            <w:tcW w:w="2552" w:type="dxa"/>
            <w:shd w:val="clear" w:color="auto" w:fill="EEECE1"/>
            <w:tcMar>
              <w:top w:w="0" w:type="dxa"/>
              <w:left w:w="115" w:type="dxa"/>
              <w:bottom w:w="0" w:type="dxa"/>
              <w:right w:w="115" w:type="dxa"/>
            </w:tcMar>
            <w:vAlign w:val="center"/>
            <w:hideMark/>
          </w:tcPr>
          <w:p w14:paraId="06BDA3A6" w14:textId="14E20EF1" w:rsidR="00B56E7C" w:rsidRPr="006D59EB" w:rsidRDefault="00B56E7C" w:rsidP="00B56E7C">
            <w:pPr>
              <w:pStyle w:val="prastasiniatinklio"/>
              <w:spacing w:before="0" w:beforeAutospacing="0" w:after="0" w:afterAutospacing="0" w:line="276" w:lineRule="auto"/>
              <w:rPr>
                <w:rFonts w:asciiTheme="majorHAnsi" w:hAnsiTheme="majorHAnsi"/>
              </w:rPr>
            </w:pPr>
            <w:r w:rsidRPr="00EE5CA8">
              <w:rPr>
                <w:rFonts w:asciiTheme="majorHAnsi" w:eastAsia="Cambria" w:hAnsiTheme="majorHAnsi"/>
                <w:color w:val="136C73"/>
                <w:lang w:bidi="lt-LT"/>
              </w:rPr>
              <w:lastRenderedPageBreak/>
              <w:t>Studentų priėmimas ir parama</w:t>
            </w:r>
          </w:p>
        </w:tc>
        <w:tc>
          <w:tcPr>
            <w:tcW w:w="7087" w:type="dxa"/>
            <w:tcMar>
              <w:top w:w="0" w:type="dxa"/>
              <w:left w:w="115" w:type="dxa"/>
              <w:bottom w:w="0" w:type="dxa"/>
              <w:right w:w="115" w:type="dxa"/>
            </w:tcMar>
            <w:vAlign w:val="center"/>
            <w:hideMark/>
          </w:tcPr>
          <w:p w14:paraId="343BC16A" w14:textId="52FF1008"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Rekomenduojama toliau tirti studentų mobilumo galimybes, įskaitant kalbinio parengimo programas, siekiant paskatinti studentus, kurie gali nenorėti naudotis suteikiamomis mobilumo galimybėmis dėl kalbos barjerų.</w:t>
            </w:r>
          </w:p>
        </w:tc>
      </w:tr>
      <w:tr w:rsidR="00B56E7C" w14:paraId="14322ADC" w14:textId="77777777" w:rsidTr="00B56E7C">
        <w:trPr>
          <w:trHeight w:val="1134"/>
        </w:trPr>
        <w:tc>
          <w:tcPr>
            <w:tcW w:w="2552" w:type="dxa"/>
            <w:shd w:val="clear" w:color="auto" w:fill="EEECE1"/>
            <w:tcMar>
              <w:top w:w="0" w:type="dxa"/>
              <w:left w:w="115" w:type="dxa"/>
              <w:bottom w:w="0" w:type="dxa"/>
              <w:right w:w="115" w:type="dxa"/>
            </w:tcMar>
            <w:vAlign w:val="center"/>
            <w:hideMark/>
          </w:tcPr>
          <w:p w14:paraId="5852B792" w14:textId="2E4FC370" w:rsidR="00B56E7C" w:rsidRPr="006D59EB" w:rsidRDefault="00B56E7C" w:rsidP="00B56E7C">
            <w:pPr>
              <w:pStyle w:val="prastasiniatinklio"/>
              <w:spacing w:before="0" w:beforeAutospacing="0" w:after="0" w:afterAutospacing="0" w:line="276" w:lineRule="auto"/>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Mar>
              <w:top w:w="0" w:type="dxa"/>
              <w:left w:w="115" w:type="dxa"/>
              <w:bottom w:w="0" w:type="dxa"/>
              <w:right w:w="115" w:type="dxa"/>
            </w:tcMar>
            <w:vAlign w:val="center"/>
            <w:hideMark/>
          </w:tcPr>
          <w:p w14:paraId="1E16D973" w14:textId="77777777"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Rekomenduojama sukurti sistemingą procesą, kurio metu studentai gautų grįžtamąjį ryšį apie tai, ar jų pasiūlymai dėl studijų proceso tobulinimo yra įgyvendinami.</w:t>
            </w:r>
          </w:p>
          <w:p w14:paraId="6DA0E2BF" w14:textId="77777777" w:rsidR="00B56E7C" w:rsidRPr="00701BE3" w:rsidRDefault="00B56E7C" w:rsidP="00B56E7C">
            <w:pPr>
              <w:spacing w:line="276" w:lineRule="auto"/>
              <w:jc w:val="both"/>
              <w:rPr>
                <w:rFonts w:ascii="Cambria" w:eastAsia="Cambria" w:hAnsi="Cambria" w:cs="Cambria"/>
              </w:rPr>
            </w:pPr>
          </w:p>
          <w:p w14:paraId="78594828" w14:textId="5027AEA6"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Socialinių partnerių ir potencialių darbdavių tinklo plėtra leistų SVK pasinaudoti tarptautinės darbo rinkos galimybėmis ir suteiktų potencialios naudos kalbant apie studentų įsidarbinimo galimybes tarptautinėje verslo rinkoje.</w:t>
            </w:r>
          </w:p>
        </w:tc>
      </w:tr>
      <w:tr w:rsidR="00B56E7C" w14:paraId="3850EC35" w14:textId="77777777" w:rsidTr="00B56E7C">
        <w:trPr>
          <w:trHeight w:val="1134"/>
        </w:trPr>
        <w:tc>
          <w:tcPr>
            <w:tcW w:w="2552" w:type="dxa"/>
            <w:shd w:val="clear" w:color="auto" w:fill="EEECE1"/>
            <w:tcMar>
              <w:top w:w="0" w:type="dxa"/>
              <w:left w:w="115" w:type="dxa"/>
              <w:bottom w:w="0" w:type="dxa"/>
              <w:right w:w="115" w:type="dxa"/>
            </w:tcMar>
            <w:vAlign w:val="center"/>
            <w:hideMark/>
          </w:tcPr>
          <w:p w14:paraId="63A2E501" w14:textId="34534F4D" w:rsidR="00B56E7C" w:rsidRPr="006D59EB" w:rsidRDefault="00B56E7C" w:rsidP="00B56E7C">
            <w:pPr>
              <w:pStyle w:val="prastasiniatinklio"/>
              <w:spacing w:before="0" w:beforeAutospacing="0" w:after="0" w:afterAutospacing="0" w:line="276" w:lineRule="auto"/>
              <w:rPr>
                <w:rFonts w:asciiTheme="majorHAnsi" w:hAnsiTheme="majorHAnsi"/>
              </w:rPr>
            </w:pPr>
            <w:r w:rsidRPr="00EE5CA8">
              <w:rPr>
                <w:rFonts w:asciiTheme="majorHAnsi" w:eastAsia="Cambria" w:hAnsiTheme="majorHAnsi"/>
                <w:color w:val="136C73"/>
                <w:lang w:bidi="lt-LT"/>
              </w:rPr>
              <w:t>Dėstytojai</w:t>
            </w:r>
          </w:p>
        </w:tc>
        <w:tc>
          <w:tcPr>
            <w:tcW w:w="7087" w:type="dxa"/>
            <w:tcMar>
              <w:top w:w="0" w:type="dxa"/>
              <w:left w:w="115" w:type="dxa"/>
              <w:bottom w:w="0" w:type="dxa"/>
              <w:right w:w="115" w:type="dxa"/>
            </w:tcMar>
            <w:vAlign w:val="center"/>
          </w:tcPr>
          <w:p w14:paraId="1D63FA7C" w14:textId="4C19E048"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Nors tarptautinio dėstytojų mobilumo veiklos mastas ir apimtis yra pagirtinas, reikėtų parengti strategijas, kurios padėtų šią turtingą tarptautinę patirtį paversti vis didesniu mokymo užsienio kalba pasiūlymų užsienio studentams</w:t>
            </w:r>
            <w:r w:rsidR="00472B8B" w:rsidRPr="00701BE3">
              <w:rPr>
                <w:rFonts w:ascii="Cambria" w:eastAsia="Cambria" w:hAnsi="Cambria" w:cs="Cambria"/>
                <w:lang w:bidi="lt-LT"/>
              </w:rPr>
              <w:t xml:space="preserve"> skaičiumi</w:t>
            </w:r>
            <w:r w:rsidRPr="00701BE3">
              <w:rPr>
                <w:rFonts w:ascii="Cambria" w:eastAsia="Cambria" w:hAnsi="Cambria" w:cs="Cambria"/>
                <w:lang w:bidi="lt-LT"/>
              </w:rPr>
              <w:t>.</w:t>
            </w:r>
          </w:p>
          <w:p w14:paraId="1F8D3B45" w14:textId="77777777" w:rsidR="00B56E7C" w:rsidRPr="00701BE3" w:rsidRDefault="00B56E7C" w:rsidP="00B56E7C">
            <w:pPr>
              <w:spacing w:line="276" w:lineRule="auto"/>
              <w:jc w:val="both"/>
              <w:rPr>
                <w:rFonts w:ascii="Cambria" w:eastAsia="Cambria" w:hAnsi="Cambria" w:cs="Cambria"/>
              </w:rPr>
            </w:pPr>
          </w:p>
          <w:p w14:paraId="7B384235" w14:textId="08277FD7"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Be to, vietos (regiono) ir tarptautinės sąvokos gali būti vaisingai derinamos, jei SVK strategiškiau vertins kaimyninę Latviją kaip tarptautinę partnerę. Strateginis bendradarbiavimas su Latvijos akademiniais, verslo ir socialiniais partneriais suteiks papildomą tarptautiškumo postūmį, neišnaudojant per daug SVK laiko ir finansinių resursų.</w:t>
            </w:r>
          </w:p>
        </w:tc>
      </w:tr>
      <w:tr w:rsidR="00B56E7C" w14:paraId="4465C8CE" w14:textId="77777777" w:rsidTr="00B56E7C">
        <w:trPr>
          <w:trHeight w:val="1134"/>
        </w:trPr>
        <w:tc>
          <w:tcPr>
            <w:tcW w:w="2552" w:type="dxa"/>
            <w:shd w:val="clear" w:color="auto" w:fill="EEECE1"/>
            <w:tcMar>
              <w:top w:w="0" w:type="dxa"/>
              <w:left w:w="115" w:type="dxa"/>
              <w:bottom w:w="0" w:type="dxa"/>
              <w:right w:w="115" w:type="dxa"/>
            </w:tcMar>
            <w:vAlign w:val="center"/>
            <w:hideMark/>
          </w:tcPr>
          <w:p w14:paraId="138277F6" w14:textId="6E50D10D" w:rsidR="00B56E7C" w:rsidRPr="006D59EB" w:rsidRDefault="00B56E7C" w:rsidP="00B56E7C">
            <w:pPr>
              <w:pStyle w:val="prastasiniatinklio"/>
              <w:spacing w:before="0" w:beforeAutospacing="0" w:after="0" w:afterAutospacing="0" w:line="276" w:lineRule="auto"/>
              <w:rPr>
                <w:rFonts w:asciiTheme="majorHAnsi" w:hAnsiTheme="majorHAnsi"/>
              </w:rPr>
            </w:pPr>
            <w:r w:rsidRPr="00EE5CA8">
              <w:rPr>
                <w:rFonts w:asciiTheme="majorHAnsi" w:eastAsia="Cambria" w:hAnsiTheme="majorHAnsi"/>
                <w:color w:val="136C73"/>
                <w:lang w:bidi="lt-LT"/>
              </w:rPr>
              <w:t>Studijų materialieji ištekliai</w:t>
            </w:r>
          </w:p>
        </w:tc>
        <w:tc>
          <w:tcPr>
            <w:tcW w:w="7087" w:type="dxa"/>
            <w:tcMar>
              <w:top w:w="0" w:type="dxa"/>
              <w:left w:w="115" w:type="dxa"/>
              <w:bottom w:w="0" w:type="dxa"/>
              <w:right w:w="115" w:type="dxa"/>
            </w:tcMar>
            <w:vAlign w:val="center"/>
          </w:tcPr>
          <w:p w14:paraId="0F40CF85" w14:textId="4BD73CC8"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Vietin</w:t>
            </w:r>
            <w:r w:rsidR="00247693">
              <w:rPr>
                <w:rFonts w:ascii="Cambria" w:eastAsia="Cambria" w:hAnsi="Cambria" w:cs="Cambria"/>
                <w:lang w:bidi="lt-LT"/>
              </w:rPr>
              <w:t>ė infrastruktūra</w:t>
            </w:r>
            <w:r w:rsidRPr="00701BE3">
              <w:rPr>
                <w:rFonts w:ascii="Cambria" w:eastAsia="Cambria" w:hAnsi="Cambria" w:cs="Cambria"/>
                <w:lang w:bidi="lt-LT"/>
              </w:rPr>
              <w:t>, pagrindinis aukštosios mokyklos internetinis puslapis ir vidinės platformos turėtų būti nuolat plečiami, kad tarptautiniai kviestiniai studentai ir tyrėjai galėtų jais naudotis taip pat išsamiai, kaip ir Lietuvos vartotojai.</w:t>
            </w:r>
          </w:p>
        </w:tc>
      </w:tr>
      <w:tr w:rsidR="00B56E7C" w14:paraId="1207DB20" w14:textId="77777777" w:rsidTr="00B56E7C">
        <w:trPr>
          <w:trHeight w:val="1134"/>
        </w:trPr>
        <w:tc>
          <w:tcPr>
            <w:tcW w:w="2552" w:type="dxa"/>
            <w:shd w:val="clear" w:color="auto" w:fill="EEECE1"/>
            <w:tcMar>
              <w:top w:w="0" w:type="dxa"/>
              <w:left w:w="115" w:type="dxa"/>
              <w:bottom w:w="0" w:type="dxa"/>
              <w:right w:w="115" w:type="dxa"/>
            </w:tcMar>
            <w:vAlign w:val="center"/>
            <w:hideMark/>
          </w:tcPr>
          <w:p w14:paraId="0FD5561D" w14:textId="76162CF2" w:rsidR="00B56E7C" w:rsidRPr="006D59EB" w:rsidRDefault="00B56E7C" w:rsidP="00B56E7C">
            <w:pPr>
              <w:pStyle w:val="prastasiniatinklio"/>
              <w:spacing w:before="0" w:beforeAutospacing="0" w:after="0" w:afterAutospacing="0" w:line="276" w:lineRule="auto"/>
              <w:rPr>
                <w:rFonts w:asciiTheme="majorHAnsi" w:hAnsiTheme="majorHAnsi"/>
              </w:rPr>
            </w:pPr>
            <w:r w:rsidRPr="00EE5CA8">
              <w:rPr>
                <w:rFonts w:asciiTheme="majorHAnsi" w:eastAsia="Cambria" w:hAnsiTheme="majorHAnsi"/>
                <w:color w:val="136C73"/>
                <w:lang w:bidi="lt-LT"/>
              </w:rPr>
              <w:t>Studijų kokybės valdymas ir viešinimas</w:t>
            </w:r>
          </w:p>
        </w:tc>
        <w:tc>
          <w:tcPr>
            <w:tcW w:w="7087" w:type="dxa"/>
            <w:tcMar>
              <w:top w:w="0" w:type="dxa"/>
              <w:left w:w="115" w:type="dxa"/>
              <w:bottom w:w="0" w:type="dxa"/>
              <w:right w:w="115" w:type="dxa"/>
            </w:tcMar>
            <w:vAlign w:val="center"/>
          </w:tcPr>
          <w:p w14:paraId="765E58D3" w14:textId="77777777" w:rsidR="00B56E7C" w:rsidRPr="00701BE3" w:rsidRDefault="00B56E7C" w:rsidP="00B56E7C">
            <w:pPr>
              <w:spacing w:line="276" w:lineRule="auto"/>
              <w:jc w:val="both"/>
              <w:rPr>
                <w:rFonts w:ascii="Cambria" w:eastAsia="Cambria" w:hAnsi="Cambria" w:cs="Cambria"/>
              </w:rPr>
            </w:pPr>
            <w:r w:rsidRPr="00701BE3">
              <w:rPr>
                <w:rFonts w:ascii="Cambria" w:eastAsia="Cambria" w:hAnsi="Cambria" w:cs="Cambria"/>
                <w:lang w:bidi="lt-LT"/>
              </w:rPr>
              <w:t>SVK padarė pagirtiną pažangą įtraukdama regioninius socialinius dalininkus į kokybės užtikrinimo veiklą. Vis dėlto tarptautinių socialinių dalininkų dalyvavimo trūkumas yra labai svarbi sritis, kurią reikėtų tobulinti.</w:t>
            </w:r>
          </w:p>
          <w:p w14:paraId="1C82846D" w14:textId="77777777" w:rsidR="00B56E7C" w:rsidRPr="00701BE3" w:rsidRDefault="00B56E7C" w:rsidP="00B56E7C">
            <w:pPr>
              <w:spacing w:line="276" w:lineRule="auto"/>
              <w:jc w:val="both"/>
              <w:rPr>
                <w:rFonts w:ascii="Cambria" w:eastAsia="Cambria" w:hAnsi="Cambria" w:cs="Cambria"/>
              </w:rPr>
            </w:pPr>
          </w:p>
          <w:p w14:paraId="561F011E" w14:textId="417D76AE" w:rsidR="00B56E7C" w:rsidRPr="00701BE3" w:rsidRDefault="00B56E7C" w:rsidP="00B56E7C">
            <w:pPr>
              <w:spacing w:line="276" w:lineRule="auto"/>
              <w:jc w:val="both"/>
              <w:rPr>
                <w:rFonts w:ascii="Cambria" w:eastAsia="Cambria" w:hAnsi="Cambria" w:cs="Cambria"/>
                <w:color w:val="136C73"/>
              </w:rPr>
            </w:pPr>
            <w:r w:rsidRPr="00701BE3">
              <w:rPr>
                <w:rFonts w:ascii="Cambria" w:eastAsia="Cambria" w:hAnsi="Cambria" w:cs="Cambria"/>
                <w:lang w:bidi="lt-LT"/>
              </w:rPr>
              <w:t xml:space="preserve">Be to, optimizavus absolventų patirties panaudojimą, nuosekliai ir aktyviai bendraujant, būtų labai prisidėta prie bendro </w:t>
            </w:r>
            <w:r w:rsidR="00247693">
              <w:rPr>
                <w:rFonts w:ascii="Cambria" w:eastAsia="Cambria" w:hAnsi="Cambria" w:cs="Cambria"/>
                <w:lang w:bidi="lt-LT"/>
              </w:rPr>
              <w:t>k</w:t>
            </w:r>
            <w:r w:rsidRPr="00701BE3">
              <w:rPr>
                <w:rFonts w:ascii="Cambria" w:eastAsia="Cambria" w:hAnsi="Cambria" w:cs="Cambria"/>
                <w:lang w:bidi="lt-LT"/>
              </w:rPr>
              <w:t>olegijos tobulėjimo ir plėtros siekiant akademinės kompetencijos ir tarptautinio pripažinimo.</w:t>
            </w:r>
          </w:p>
          <w:p w14:paraId="7E7ACC96" w14:textId="77777777" w:rsidR="00B56E7C" w:rsidRPr="00701BE3" w:rsidRDefault="00B56E7C" w:rsidP="00B56E7C">
            <w:pPr>
              <w:tabs>
                <w:tab w:val="left" w:pos="1298"/>
                <w:tab w:val="left" w:pos="1701"/>
                <w:tab w:val="left" w:pos="1985"/>
              </w:tabs>
              <w:spacing w:line="276" w:lineRule="auto"/>
              <w:jc w:val="both"/>
              <w:rPr>
                <w:rFonts w:ascii="Cambria" w:eastAsia="Cambria" w:hAnsi="Cambria" w:cs="Cambria"/>
              </w:rPr>
            </w:pPr>
          </w:p>
          <w:p w14:paraId="065550C2" w14:textId="48079DE3" w:rsidR="00B56E7C" w:rsidRPr="00D4773F" w:rsidRDefault="00B56E7C" w:rsidP="00B56E7C">
            <w:pPr>
              <w:spacing w:line="276" w:lineRule="auto"/>
              <w:jc w:val="both"/>
              <w:rPr>
                <w:rFonts w:asciiTheme="majorHAnsi" w:hAnsiTheme="majorHAnsi"/>
              </w:rPr>
            </w:pPr>
            <w:r w:rsidRPr="00701BE3">
              <w:rPr>
                <w:rFonts w:ascii="Cambria" w:eastAsia="Cambria" w:hAnsi="Cambria" w:cs="Cambria"/>
                <w:lang w:bidi="lt-LT"/>
              </w:rPr>
              <w:t>Taip pat rekomenduojama studentų ugdymo procesus orientuoti ne tik į vietos darbo rinką, kad būtų didinama studentų įvairovė ir plečiamos studentų galimybės nacionaliniu ir tarptautiniu mastu.</w:t>
            </w:r>
          </w:p>
        </w:tc>
      </w:tr>
    </w:tbl>
    <w:p w14:paraId="641EFE30" w14:textId="77777777" w:rsidR="00D4773F" w:rsidRDefault="00D4773F" w:rsidP="008F64DA">
      <w:pPr>
        <w:keepNext/>
        <w:keepLines/>
        <w:tabs>
          <w:tab w:val="left" w:pos="680"/>
        </w:tabs>
        <w:spacing w:line="276" w:lineRule="auto"/>
        <w:ind w:left="360"/>
        <w:jc w:val="center"/>
        <w:outlineLvl w:val="1"/>
        <w:rPr>
          <w:rFonts w:ascii="Cambria" w:eastAsia="Calibri" w:hAnsi="Cambria"/>
          <w:color w:val="000000"/>
          <w:lang w:eastAsia="lt-LT"/>
        </w:rPr>
      </w:pPr>
      <w:bookmarkStart w:id="7" w:name="_Toc37939117"/>
    </w:p>
    <w:p w14:paraId="70466421" w14:textId="77777777" w:rsidR="00D4773F" w:rsidRDefault="00D4773F">
      <w:pPr>
        <w:spacing w:after="200" w:line="276" w:lineRule="auto"/>
        <w:rPr>
          <w:rFonts w:ascii="Cambria" w:eastAsia="Calibri" w:hAnsi="Cambria"/>
          <w:color w:val="000000"/>
          <w:lang w:eastAsia="lt-LT"/>
        </w:rPr>
      </w:pPr>
      <w:r>
        <w:rPr>
          <w:rFonts w:ascii="Cambria" w:eastAsia="Calibri" w:hAnsi="Cambria"/>
          <w:color w:val="000000"/>
          <w:lang w:eastAsia="lt-LT"/>
        </w:rPr>
        <w:br w:type="page"/>
      </w:r>
    </w:p>
    <w:p w14:paraId="5710B366" w14:textId="140A7565" w:rsidR="000D4EE3" w:rsidRPr="00F024F0" w:rsidRDefault="000D4EE3" w:rsidP="008F64DA">
      <w:pPr>
        <w:keepNext/>
        <w:keepLines/>
        <w:tabs>
          <w:tab w:val="left" w:pos="680"/>
        </w:tabs>
        <w:spacing w:line="276" w:lineRule="auto"/>
        <w:ind w:left="360"/>
        <w:jc w:val="center"/>
        <w:outlineLvl w:val="1"/>
        <w:rPr>
          <w:rFonts w:ascii="Cambria" w:hAnsi="Cambria"/>
          <w:b/>
          <w:bCs/>
          <w:caps/>
          <w:color w:val="136C73"/>
          <w:sz w:val="28"/>
          <w:szCs w:val="28"/>
          <w:lang w:eastAsia="lt-LT"/>
        </w:rPr>
      </w:pPr>
      <w:r w:rsidRPr="00F024F0">
        <w:rPr>
          <w:rFonts w:ascii="Cambria" w:hAnsi="Cambria"/>
          <w:b/>
          <w:bCs/>
          <w:caps/>
          <w:color w:val="136C73"/>
          <w:sz w:val="28"/>
          <w:szCs w:val="28"/>
          <w:lang w:eastAsia="lt-LT"/>
        </w:rPr>
        <w:lastRenderedPageBreak/>
        <w:t>VI. S</w:t>
      </w:r>
      <w:bookmarkEnd w:id="7"/>
      <w:r w:rsidRPr="00F024F0">
        <w:rPr>
          <w:rFonts w:ascii="Cambria" w:hAnsi="Cambria"/>
          <w:b/>
          <w:bCs/>
          <w:caps/>
          <w:color w:val="136C73"/>
          <w:sz w:val="28"/>
          <w:szCs w:val="28"/>
          <w:lang w:eastAsia="lt-LT"/>
        </w:rPr>
        <w:t>antrauka</w:t>
      </w:r>
    </w:p>
    <w:p w14:paraId="36BF44D5" w14:textId="77777777" w:rsidR="000D4EE3" w:rsidRPr="00C72D32" w:rsidRDefault="000D4EE3" w:rsidP="008F64DA">
      <w:pPr>
        <w:spacing w:line="276" w:lineRule="auto"/>
        <w:ind w:firstLine="426"/>
        <w:rPr>
          <w:rFonts w:ascii="Cambria" w:eastAsia="Calibri" w:hAnsi="Cambria"/>
          <w:highlight w:val="lightGray"/>
          <w:lang w:eastAsia="lt-LT"/>
        </w:rPr>
      </w:pPr>
    </w:p>
    <w:p w14:paraId="7957A6E9" w14:textId="1FF5A232"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 xml:space="preserve">Šiaulių valstybinės kolegijos vadybos studijų kryptis pasižymi keliais </w:t>
      </w:r>
      <w:r w:rsidR="00247693">
        <w:rPr>
          <w:rFonts w:ascii="Cambria" w:eastAsia="Calibri" w:hAnsi="Cambria"/>
          <w:lang w:eastAsia="lt-LT"/>
        </w:rPr>
        <w:t>e</w:t>
      </w:r>
      <w:r w:rsidRPr="00B56E7C">
        <w:rPr>
          <w:rFonts w:ascii="Cambria" w:eastAsia="Calibri" w:hAnsi="Cambria"/>
          <w:lang w:eastAsia="lt-LT"/>
        </w:rPr>
        <w:t xml:space="preserve">kspertų grupės pastebėtais teigiamais aspektais. Tai </w:t>
      </w:r>
      <w:r w:rsidR="00247693">
        <w:rPr>
          <w:rFonts w:ascii="Cambria" w:eastAsia="Calibri" w:hAnsi="Cambria"/>
          <w:lang w:eastAsia="lt-LT"/>
        </w:rPr>
        <w:t>–</w:t>
      </w:r>
      <w:r w:rsidRPr="00B56E7C">
        <w:rPr>
          <w:rFonts w:ascii="Cambria" w:eastAsia="Calibri" w:hAnsi="Cambria"/>
          <w:lang w:eastAsia="lt-LT"/>
        </w:rPr>
        <w:t xml:space="preserve"> ilgametis bendradarbiavimas su socialiniais partneriais ir darbdaviais, mokslinių tyrimų integravimo į dėstymą įrodymai, kokybiškos studijų programos, teigiamos mokslinių tyrimų rezultatų tendencijos (nepaisant tam tikrų abejonių dėl mokslinių tyrimų kokybės), studentų integravimas į taikomuosius mokslinius tyrimus, prieinama informacija ir parama studentams, lankstumas kitų įsipareigojimų turintiems studentams, nusistovėjusi tarptautinio dėstytojų mobilumo kultūra, didelė dalis aukštesnę kvalifikaciją turinčių dėstytojų, tinkamos patalpos ir įranga, geras studentų ir dėstytojų bendravimas, </w:t>
      </w:r>
      <w:r w:rsidR="00247693">
        <w:rPr>
          <w:rFonts w:ascii="Cambria" w:eastAsia="Calibri" w:hAnsi="Cambria"/>
          <w:lang w:eastAsia="lt-LT"/>
        </w:rPr>
        <w:t>k</w:t>
      </w:r>
      <w:r w:rsidRPr="00B56E7C">
        <w:rPr>
          <w:rFonts w:ascii="Cambria" w:eastAsia="Calibri" w:hAnsi="Cambria"/>
          <w:lang w:eastAsia="lt-LT"/>
        </w:rPr>
        <w:t>olegijos gebėjimas prisitaikyti teikiant išsilavinimą įvairiomis kalbomis, naudingas įvairioms tarptautinėms grupėms ir ES darbo rinkai. Be to, pabrėžiama, kad Gamybos ir logistikos vadybos studijų programa rengia kvalifikuotus ir paklausius absolventus dėl glaudaus bendradarbiavimo su regionine rinka.</w:t>
      </w:r>
    </w:p>
    <w:p w14:paraId="32AB2E22" w14:textId="77777777" w:rsidR="00B56E7C" w:rsidRPr="00B56E7C" w:rsidRDefault="00B56E7C" w:rsidP="00B56E7C">
      <w:pPr>
        <w:spacing w:line="276" w:lineRule="auto"/>
        <w:jc w:val="both"/>
        <w:rPr>
          <w:rFonts w:ascii="Cambria" w:eastAsia="Calibri" w:hAnsi="Cambria"/>
          <w:lang w:eastAsia="lt-LT"/>
        </w:rPr>
      </w:pPr>
    </w:p>
    <w:p w14:paraId="6C15A0FF" w14:textId="402319A5"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 xml:space="preserve">Tačiau, siekdama toliau gerinti savo švietimo kokybę ir tarptautinį konkurencingumą, </w:t>
      </w:r>
      <w:r w:rsidR="00247693">
        <w:rPr>
          <w:rFonts w:ascii="Cambria" w:eastAsia="Calibri" w:hAnsi="Cambria"/>
          <w:lang w:eastAsia="lt-LT"/>
        </w:rPr>
        <w:t>k</w:t>
      </w:r>
      <w:r w:rsidRPr="00B56E7C">
        <w:rPr>
          <w:rFonts w:ascii="Cambria" w:eastAsia="Calibri" w:hAnsi="Cambria"/>
          <w:lang w:eastAsia="lt-LT"/>
        </w:rPr>
        <w:t>olegija turėtų apsvarstyti šias rekomendacijas:</w:t>
      </w:r>
    </w:p>
    <w:p w14:paraId="14CE3DE4" w14:textId="77777777" w:rsidR="00B56E7C" w:rsidRPr="00B56E7C" w:rsidRDefault="00B56E7C" w:rsidP="00B56E7C">
      <w:pPr>
        <w:spacing w:line="276" w:lineRule="auto"/>
        <w:jc w:val="both"/>
        <w:rPr>
          <w:rFonts w:ascii="Cambria" w:eastAsia="Calibri" w:hAnsi="Cambria"/>
          <w:lang w:eastAsia="lt-LT"/>
        </w:rPr>
      </w:pPr>
    </w:p>
    <w:p w14:paraId="472912FE" w14:textId="78AF466D"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 xml:space="preserve">Ekspertų grupė nustatė galimą pažymių infliaciją ir rekomenduotų įgyvendinti vertinimo politiką šiai problemai spręsti. Reikalingas platesnis studijų dalykų pasirinkimas, ypač vadybos technologijų naujovių srityse, todėl </w:t>
      </w:r>
      <w:r w:rsidR="00247693">
        <w:rPr>
          <w:rFonts w:ascii="Cambria" w:eastAsia="Calibri" w:hAnsi="Cambria"/>
          <w:lang w:eastAsia="lt-LT"/>
        </w:rPr>
        <w:t>e</w:t>
      </w:r>
      <w:r w:rsidRPr="00B56E7C">
        <w:rPr>
          <w:rFonts w:ascii="Cambria" w:eastAsia="Calibri" w:hAnsi="Cambria"/>
          <w:lang w:eastAsia="lt-LT"/>
        </w:rPr>
        <w:t>kspertų grupė siūlo apsvarstyti galimybę įtraukti naujus specializuotus pasirenkamuosius dalykus. Reikėtų ištirti, ar nesidubliuoja Įmonių ir įstaigų vadybos studijų programos turinys.</w:t>
      </w:r>
    </w:p>
    <w:p w14:paraId="0DCA78D6" w14:textId="77777777" w:rsidR="00B56E7C" w:rsidRPr="00B56E7C" w:rsidRDefault="00B56E7C" w:rsidP="00B56E7C">
      <w:pPr>
        <w:spacing w:line="276" w:lineRule="auto"/>
        <w:jc w:val="both"/>
        <w:rPr>
          <w:rFonts w:ascii="Cambria" w:eastAsia="Calibri" w:hAnsi="Cambria"/>
          <w:lang w:eastAsia="lt-LT"/>
        </w:rPr>
      </w:pPr>
    </w:p>
    <w:p w14:paraId="2B8A6610" w14:textId="77777777"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SVK mokslinių tyrimų publikacijų ir pranešimų sklaidos strategija turėtų būti sistemingesnė, taip pat rekomenduojama sukurti specialią mokslinių tyrimų politiką, kurioje būtų numatyti ambicingi tikslai ir paskatos tyrėjams. Institucija turėtų daugiau dėmesio skirti ne tik technologinėms, bet ir socialinėms inovacijoms. Reikėtų peržiūrėti ir galbūt iš naujo apibrėžti ITC vadovo vaidmenį. Reikėtų atnaujinti Studentų mokslinės draugijos veiklą. Institucija turėtų derinti technologines ir socialines inovacijas, gerinti mokslo ir studijų ryšį.</w:t>
      </w:r>
    </w:p>
    <w:p w14:paraId="777A2FC1" w14:textId="77777777" w:rsidR="00B56E7C" w:rsidRPr="00B56E7C" w:rsidRDefault="00B56E7C" w:rsidP="00B56E7C">
      <w:pPr>
        <w:spacing w:line="276" w:lineRule="auto"/>
        <w:jc w:val="both"/>
        <w:rPr>
          <w:rFonts w:ascii="Cambria" w:eastAsia="Calibri" w:hAnsi="Cambria"/>
          <w:lang w:eastAsia="lt-LT"/>
        </w:rPr>
      </w:pPr>
    </w:p>
    <w:p w14:paraId="2586E4F1" w14:textId="09636B52"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Rekomenduojama didinti studentų mobilumo galimybes, įgyvendinti sistemingą grįžtamojo ryšio, susijusio su studentų teikiamais pasiūlymais, procesą, plėsti socialinių partnerių tinklą ir tarptautinio dėstytojų mobilumo patirtį paversti į daugiau dėstymo užsienio kalbomis galimyb</w:t>
      </w:r>
      <w:r w:rsidR="00247693">
        <w:rPr>
          <w:rFonts w:ascii="Cambria" w:eastAsia="Calibri" w:hAnsi="Cambria"/>
          <w:lang w:eastAsia="lt-LT"/>
        </w:rPr>
        <w:t>es</w:t>
      </w:r>
      <w:r w:rsidRPr="00B56E7C">
        <w:rPr>
          <w:rFonts w:ascii="Cambria" w:eastAsia="Calibri" w:hAnsi="Cambria"/>
          <w:lang w:eastAsia="lt-LT"/>
        </w:rPr>
        <w:t>. Siūloma apsvarstyti kaimyninę Latviją kaip tarptautinę partnerę.</w:t>
      </w:r>
    </w:p>
    <w:p w14:paraId="4309C5B2" w14:textId="77777777" w:rsidR="00B56E7C" w:rsidRPr="00B56E7C" w:rsidRDefault="00B56E7C" w:rsidP="00B56E7C">
      <w:pPr>
        <w:spacing w:line="276" w:lineRule="auto"/>
        <w:jc w:val="both"/>
        <w:rPr>
          <w:rFonts w:ascii="Cambria" w:eastAsia="Calibri" w:hAnsi="Cambria"/>
          <w:lang w:eastAsia="lt-LT"/>
        </w:rPr>
      </w:pPr>
    </w:p>
    <w:p w14:paraId="68F216D4" w14:textId="5F54BEDC" w:rsidR="00B56E7C" w:rsidRPr="00B56E7C"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SVK vietin</w:t>
      </w:r>
      <w:r w:rsidR="00247693">
        <w:rPr>
          <w:rFonts w:ascii="Cambria" w:eastAsia="Calibri" w:hAnsi="Cambria"/>
          <w:lang w:eastAsia="lt-LT"/>
        </w:rPr>
        <w:t>ė infrastruktūra</w:t>
      </w:r>
      <w:r w:rsidRPr="00B56E7C">
        <w:rPr>
          <w:rFonts w:ascii="Cambria" w:eastAsia="Calibri" w:hAnsi="Cambria"/>
          <w:lang w:eastAsia="lt-LT"/>
        </w:rPr>
        <w:t>, pagrindinis aukštosios mokyklos internetinis puslapis ir vidinės platformos turėtų tapti vis patogesni</w:t>
      </w:r>
      <w:r w:rsidR="00247693">
        <w:rPr>
          <w:rFonts w:ascii="Cambria" w:eastAsia="Calibri" w:hAnsi="Cambria"/>
          <w:lang w:eastAsia="lt-LT"/>
        </w:rPr>
        <w:t xml:space="preserve">ais </w:t>
      </w:r>
      <w:r w:rsidRPr="00B56E7C">
        <w:rPr>
          <w:rFonts w:ascii="Cambria" w:eastAsia="Calibri" w:hAnsi="Cambria"/>
          <w:lang w:eastAsia="lt-LT"/>
        </w:rPr>
        <w:t>tarptautiniams naudotojams. Labai svarbu įtraukti tarptautinius socialinius dalininkus, o taip pat rekomenduojama pasinaudoti absolventų patirtimi aktyviai su jais bendraujant. Galiausiai patariama studentų ugdymo procesą orientuoti ne tik į vietos darbo rinką, bet ir į nacionalinio bei tarptautinio lygmens įvairovės ir galimybių didinimą.</w:t>
      </w:r>
    </w:p>
    <w:p w14:paraId="2A62A2B3" w14:textId="77777777" w:rsidR="00B56E7C" w:rsidRPr="00B56E7C" w:rsidRDefault="00B56E7C" w:rsidP="00B56E7C">
      <w:pPr>
        <w:spacing w:line="276" w:lineRule="auto"/>
        <w:jc w:val="both"/>
        <w:rPr>
          <w:rFonts w:ascii="Cambria" w:eastAsia="Calibri" w:hAnsi="Cambria"/>
          <w:lang w:eastAsia="lt-LT"/>
        </w:rPr>
      </w:pPr>
    </w:p>
    <w:p w14:paraId="62C06968" w14:textId="78726E28" w:rsidR="000D4EE3" w:rsidRPr="00C72D32" w:rsidRDefault="00B56E7C" w:rsidP="00B56E7C">
      <w:pPr>
        <w:spacing w:line="276" w:lineRule="auto"/>
        <w:jc w:val="both"/>
        <w:rPr>
          <w:rFonts w:ascii="Cambria" w:eastAsia="Calibri" w:hAnsi="Cambria"/>
          <w:lang w:eastAsia="lt-LT"/>
        </w:rPr>
      </w:pPr>
      <w:r w:rsidRPr="00B56E7C">
        <w:rPr>
          <w:rFonts w:ascii="Cambria" w:eastAsia="Calibri" w:hAnsi="Cambria"/>
          <w:lang w:eastAsia="lt-LT"/>
        </w:rPr>
        <w:t xml:space="preserve">Kolegija daugiausia veikia vietos rinkoje, todėl galėtų padidinti savo veiklą tarptautinėje rinkoje bendradarbiaudama mokslo ir mokslinių tyrimų srityje, dalyvaudama tarptautinėse mokslinėse konferencijose ir užmegzdama abipusius ryšius. Verta nuolat plėsti tarptautinio bendravimo sritis, nes tai stipriai sustiprintų </w:t>
      </w:r>
      <w:r w:rsidR="00247693">
        <w:rPr>
          <w:rFonts w:ascii="Cambria" w:eastAsia="Calibri" w:hAnsi="Cambria"/>
          <w:lang w:eastAsia="lt-LT"/>
        </w:rPr>
        <w:t>k</w:t>
      </w:r>
      <w:r w:rsidRPr="00B56E7C">
        <w:rPr>
          <w:rFonts w:ascii="Cambria" w:eastAsia="Calibri" w:hAnsi="Cambria"/>
          <w:lang w:eastAsia="lt-LT"/>
        </w:rPr>
        <w:t>olegijos edukacinį potencialą ir jos konkurencingumą.</w:t>
      </w:r>
    </w:p>
    <w:p w14:paraId="0A98A64F" w14:textId="77777777" w:rsidR="000D4EE3" w:rsidRPr="00C5787E" w:rsidRDefault="000D4EE3" w:rsidP="008F64DA">
      <w:pPr>
        <w:spacing w:line="276" w:lineRule="auto"/>
        <w:jc w:val="center"/>
      </w:pPr>
      <w:r>
        <w:lastRenderedPageBreak/>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8F64DA">
      <w:pPr>
        <w:pStyle w:val="Pagrindinistekstas2"/>
        <w:spacing w:after="0" w:line="276" w:lineRule="auto"/>
        <w:jc w:val="both"/>
        <w:rPr>
          <w:sz w:val="18"/>
          <w:lang w:val="lt-LT"/>
        </w:rPr>
      </w:pPr>
    </w:p>
    <w:p w14:paraId="73E53EE8" w14:textId="77777777" w:rsidR="000D4EE3" w:rsidRDefault="000D4EE3" w:rsidP="008F64DA">
      <w:pPr>
        <w:pStyle w:val="Pagrindinistekstas2"/>
        <w:spacing w:after="0" w:line="276" w:lineRule="auto"/>
        <w:jc w:val="both"/>
        <w:rPr>
          <w:lang w:val="lt-LT"/>
        </w:rPr>
      </w:pPr>
    </w:p>
    <w:p w14:paraId="3CAB4A8F" w14:textId="77777777" w:rsidR="000D4EE3" w:rsidRPr="00C5787E" w:rsidRDefault="000D4EE3" w:rsidP="008F64DA">
      <w:pPr>
        <w:pStyle w:val="Pagrindinistekstas2"/>
        <w:spacing w:after="0" w:line="276"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8F64DA">
      <w:pPr>
        <w:pStyle w:val="Pagrindinistekstas2"/>
        <w:spacing w:after="0" w:line="276" w:lineRule="auto"/>
        <w:jc w:val="both"/>
        <w:rPr>
          <w:lang w:val="lt-LT"/>
        </w:rPr>
      </w:pPr>
    </w:p>
    <w:p w14:paraId="5B19FE1F" w14:textId="77777777" w:rsidR="000D4EE3" w:rsidRDefault="000D4EE3" w:rsidP="008F64DA">
      <w:pPr>
        <w:pStyle w:val="Pagrindinistekstas2"/>
        <w:spacing w:after="0" w:line="276" w:lineRule="auto"/>
        <w:ind w:left="3888" w:firstLine="1296"/>
        <w:jc w:val="both"/>
        <w:rPr>
          <w:lang w:val="lt-LT"/>
        </w:rPr>
      </w:pPr>
      <w:r w:rsidRPr="00C5787E">
        <w:rPr>
          <w:lang w:val="lt-LT"/>
        </w:rPr>
        <w:t>Vertėjos rekvizitai (vardas, pavardė, parašas)</w:t>
      </w:r>
    </w:p>
    <w:p w14:paraId="0F36E03A" w14:textId="77777777" w:rsidR="000D4EE3" w:rsidRDefault="000D4EE3" w:rsidP="008F64DA">
      <w:pPr>
        <w:pStyle w:val="Pagrindinistekstas2"/>
        <w:spacing w:after="0" w:line="276" w:lineRule="auto"/>
        <w:ind w:left="3888" w:firstLine="1296"/>
        <w:jc w:val="both"/>
        <w:rPr>
          <w:lang w:val="lt-LT"/>
        </w:rPr>
      </w:pPr>
    </w:p>
    <w:p w14:paraId="1E162235" w14:textId="77777777" w:rsidR="009E209B" w:rsidRPr="00C5787E" w:rsidRDefault="009E209B" w:rsidP="008F64DA">
      <w:pPr>
        <w:pStyle w:val="Pagrindinistekstas2"/>
        <w:spacing w:after="0" w:line="276"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498B" w14:textId="77777777" w:rsidR="00ED39FA" w:rsidRDefault="00ED39FA" w:rsidP="0042467A">
      <w:r>
        <w:separator/>
      </w:r>
    </w:p>
  </w:endnote>
  <w:endnote w:type="continuationSeparator" w:id="0">
    <w:p w14:paraId="08197C10" w14:textId="77777777" w:rsidR="00ED39FA" w:rsidRDefault="00ED39FA"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D786" w14:textId="77777777" w:rsidR="00ED39FA" w:rsidRDefault="00ED39FA" w:rsidP="0042467A">
      <w:r>
        <w:separator/>
      </w:r>
    </w:p>
  </w:footnote>
  <w:footnote w:type="continuationSeparator" w:id="0">
    <w:p w14:paraId="0A4F6255" w14:textId="77777777" w:rsidR="00ED39FA" w:rsidRDefault="00ED39FA" w:rsidP="004246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317B7B94"/>
    <w:multiLevelType w:val="multilevel"/>
    <w:tmpl w:val="D180D3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1"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7A7FED"/>
    <w:multiLevelType w:val="multilevel"/>
    <w:tmpl w:val="D180D3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9"/>
  </w:num>
  <w:num w:numId="6">
    <w:abstractNumId w:val="27"/>
  </w:num>
  <w:num w:numId="7">
    <w:abstractNumId w:val="24"/>
  </w:num>
  <w:num w:numId="8">
    <w:abstractNumId w:val="16"/>
  </w:num>
  <w:num w:numId="9">
    <w:abstractNumId w:val="25"/>
  </w:num>
  <w:num w:numId="10">
    <w:abstractNumId w:val="33"/>
  </w:num>
  <w:num w:numId="11">
    <w:abstractNumId w:val="1"/>
  </w:num>
  <w:num w:numId="12">
    <w:abstractNumId w:val="5"/>
  </w:num>
  <w:num w:numId="13">
    <w:abstractNumId w:val="8"/>
  </w:num>
  <w:num w:numId="14">
    <w:abstractNumId w:val="13"/>
  </w:num>
  <w:num w:numId="15">
    <w:abstractNumId w:val="12"/>
  </w:num>
  <w:num w:numId="16">
    <w:abstractNumId w:val="2"/>
  </w:num>
  <w:num w:numId="17">
    <w:abstractNumId w:val="3"/>
  </w:num>
  <w:num w:numId="18">
    <w:abstractNumId w:val="20"/>
  </w:num>
  <w:num w:numId="19">
    <w:abstractNumId w:val="6"/>
  </w:num>
  <w:num w:numId="20">
    <w:abstractNumId w:val="17"/>
  </w:num>
  <w:num w:numId="21">
    <w:abstractNumId w:val="4"/>
  </w:num>
  <w:num w:numId="22">
    <w:abstractNumId w:val="11"/>
  </w:num>
  <w:num w:numId="23">
    <w:abstractNumId w:val="26"/>
  </w:num>
  <w:num w:numId="24">
    <w:abstractNumId w:val="22"/>
  </w:num>
  <w:num w:numId="25">
    <w:abstractNumId w:val="29"/>
  </w:num>
  <w:num w:numId="26">
    <w:abstractNumId w:val="31"/>
  </w:num>
  <w:num w:numId="27">
    <w:abstractNumId w:val="10"/>
  </w:num>
  <w:num w:numId="28">
    <w:abstractNumId w:val="30"/>
  </w:num>
  <w:num w:numId="29">
    <w:abstractNumId w:val="15"/>
  </w:num>
  <w:num w:numId="30">
    <w:abstractNumId w:val="18"/>
  </w:num>
  <w:num w:numId="31">
    <w:abstractNumId w:val="34"/>
  </w:num>
  <w:num w:numId="32">
    <w:abstractNumId w:val="32"/>
  </w:num>
  <w:num w:numId="33">
    <w:abstractNumId w:val="7"/>
  </w:num>
  <w:num w:numId="34">
    <w:abstractNumId w:val="28"/>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24"/>
    <w:rsid w:val="00030D7B"/>
    <w:rsid w:val="000550AD"/>
    <w:rsid w:val="0005578B"/>
    <w:rsid w:val="000A12D8"/>
    <w:rsid w:val="000A592A"/>
    <w:rsid w:val="000B1358"/>
    <w:rsid w:val="000B3CEE"/>
    <w:rsid w:val="000D4EE3"/>
    <w:rsid w:val="000F3C5C"/>
    <w:rsid w:val="00113BE2"/>
    <w:rsid w:val="001147E8"/>
    <w:rsid w:val="001607BA"/>
    <w:rsid w:val="001935B7"/>
    <w:rsid w:val="001B20A9"/>
    <w:rsid w:val="001B500A"/>
    <w:rsid w:val="001B6D6C"/>
    <w:rsid w:val="001C0C28"/>
    <w:rsid w:val="001F3872"/>
    <w:rsid w:val="001F4A7C"/>
    <w:rsid w:val="002026A9"/>
    <w:rsid w:val="002269D9"/>
    <w:rsid w:val="002307AC"/>
    <w:rsid w:val="00247693"/>
    <w:rsid w:val="00282146"/>
    <w:rsid w:val="002932EE"/>
    <w:rsid w:val="002A5085"/>
    <w:rsid w:val="002F0FD3"/>
    <w:rsid w:val="002F4424"/>
    <w:rsid w:val="003274FD"/>
    <w:rsid w:val="00347078"/>
    <w:rsid w:val="00385F18"/>
    <w:rsid w:val="003C2BE5"/>
    <w:rsid w:val="0042467A"/>
    <w:rsid w:val="0043262A"/>
    <w:rsid w:val="00472B8B"/>
    <w:rsid w:val="004857AE"/>
    <w:rsid w:val="004933C9"/>
    <w:rsid w:val="004A331D"/>
    <w:rsid w:val="00507E52"/>
    <w:rsid w:val="005A5B7E"/>
    <w:rsid w:val="005A6EE0"/>
    <w:rsid w:val="005B13E0"/>
    <w:rsid w:val="0060015D"/>
    <w:rsid w:val="00626397"/>
    <w:rsid w:val="006501B9"/>
    <w:rsid w:val="00654C95"/>
    <w:rsid w:val="00665FF5"/>
    <w:rsid w:val="006675C3"/>
    <w:rsid w:val="00672F6D"/>
    <w:rsid w:val="00677F9A"/>
    <w:rsid w:val="0069329A"/>
    <w:rsid w:val="006D1CFD"/>
    <w:rsid w:val="006D59EB"/>
    <w:rsid w:val="00715FE7"/>
    <w:rsid w:val="00726FD0"/>
    <w:rsid w:val="007A56A7"/>
    <w:rsid w:val="007B563E"/>
    <w:rsid w:val="00822851"/>
    <w:rsid w:val="00880CC9"/>
    <w:rsid w:val="008D0291"/>
    <w:rsid w:val="008E6E56"/>
    <w:rsid w:val="008F64DA"/>
    <w:rsid w:val="0090052E"/>
    <w:rsid w:val="00960097"/>
    <w:rsid w:val="00962EF2"/>
    <w:rsid w:val="00970BA5"/>
    <w:rsid w:val="009B1A04"/>
    <w:rsid w:val="009C206C"/>
    <w:rsid w:val="009D11FE"/>
    <w:rsid w:val="009D23F6"/>
    <w:rsid w:val="009E209B"/>
    <w:rsid w:val="009F7697"/>
    <w:rsid w:val="00A213D8"/>
    <w:rsid w:val="00A55DA6"/>
    <w:rsid w:val="00A61E4C"/>
    <w:rsid w:val="00A7414D"/>
    <w:rsid w:val="00A76858"/>
    <w:rsid w:val="00B16C97"/>
    <w:rsid w:val="00B4797C"/>
    <w:rsid w:val="00B53B48"/>
    <w:rsid w:val="00B56E7C"/>
    <w:rsid w:val="00B86E3F"/>
    <w:rsid w:val="00BB1255"/>
    <w:rsid w:val="00BC7225"/>
    <w:rsid w:val="00BE7F1E"/>
    <w:rsid w:val="00BF6CF4"/>
    <w:rsid w:val="00C218B5"/>
    <w:rsid w:val="00C36D15"/>
    <w:rsid w:val="00C72D32"/>
    <w:rsid w:val="00C7668B"/>
    <w:rsid w:val="00C90ECC"/>
    <w:rsid w:val="00CF17B4"/>
    <w:rsid w:val="00D12BE0"/>
    <w:rsid w:val="00D32F58"/>
    <w:rsid w:val="00D4773F"/>
    <w:rsid w:val="00D521A3"/>
    <w:rsid w:val="00D91383"/>
    <w:rsid w:val="00E644E2"/>
    <w:rsid w:val="00E83E52"/>
    <w:rsid w:val="00E90C75"/>
    <w:rsid w:val="00EB06E1"/>
    <w:rsid w:val="00EC1A38"/>
    <w:rsid w:val="00ED39FA"/>
    <w:rsid w:val="00ED3A8A"/>
    <w:rsid w:val="00F024F0"/>
    <w:rsid w:val="00F4603E"/>
    <w:rsid w:val="00F5037C"/>
    <w:rsid w:val="00F64A37"/>
    <w:rsid w:val="00FB19E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70BA-4468-4F4E-83B0-3AC2D0E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0</TotalTime>
  <Pages>16</Pages>
  <Words>3487</Words>
  <Characters>19878</Characters>
  <Application>Microsoft Office Word</Application>
  <DocSecurity>0</DocSecurity>
  <Lines>165</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Gustas Straukas</dc:creator>
  <cp:lastModifiedBy>Urtė</cp:lastModifiedBy>
  <cp:revision>2</cp:revision>
  <cp:lastPrinted>2017-08-18T07:39:00Z</cp:lastPrinted>
  <dcterms:created xsi:type="dcterms:W3CDTF">2023-12-15T13:23:00Z</dcterms:created>
  <dcterms:modified xsi:type="dcterms:W3CDTF">2023-12-15T13:23:00Z</dcterms:modified>
</cp:coreProperties>
</file>